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43" w:type="dxa"/>
        <w:tblInd w:w="-431" w:type="dxa"/>
        <w:tblLook w:val="04A0" w:firstRow="1" w:lastRow="0" w:firstColumn="1" w:lastColumn="0" w:noHBand="0" w:noVBand="1"/>
      </w:tblPr>
      <w:tblGrid>
        <w:gridCol w:w="577"/>
        <w:gridCol w:w="4150"/>
        <w:gridCol w:w="5920"/>
        <w:gridCol w:w="4096"/>
      </w:tblGrid>
      <w:tr w:rsidR="003600E1" w14:paraId="3D968650" w14:textId="77777777" w:rsidTr="005C3D93">
        <w:trPr>
          <w:tblHeader/>
        </w:trPr>
        <w:tc>
          <w:tcPr>
            <w:tcW w:w="577" w:type="dxa"/>
            <w:vAlign w:val="center"/>
          </w:tcPr>
          <w:p w14:paraId="3D6885DA" w14:textId="69139D59" w:rsidR="003600E1" w:rsidRPr="00241DE3" w:rsidRDefault="003600E1" w:rsidP="00241DE3">
            <w:pPr>
              <w:rPr>
                <w:szCs w:val="22"/>
              </w:rPr>
            </w:pPr>
            <w:r w:rsidRPr="00241DE3">
              <w:rPr>
                <w:rFonts w:ascii="Book Antiqua" w:hAnsi="Book Antiqua" w:cs="Calibri"/>
                <w:b/>
                <w:bCs/>
                <w:szCs w:val="22"/>
              </w:rPr>
              <w:t>Sl. No.</w:t>
            </w:r>
          </w:p>
        </w:tc>
        <w:tc>
          <w:tcPr>
            <w:tcW w:w="4150" w:type="dxa"/>
            <w:vAlign w:val="center"/>
          </w:tcPr>
          <w:p w14:paraId="56BF7E26" w14:textId="11036E28" w:rsidR="003600E1" w:rsidRPr="00241DE3" w:rsidRDefault="00C271EB" w:rsidP="00241DE3">
            <w:pPr>
              <w:rPr>
                <w:szCs w:val="22"/>
              </w:rPr>
            </w:pPr>
            <w:r>
              <w:rPr>
                <w:rFonts w:ascii="Book Antiqua" w:hAnsi="Book Antiqua" w:cs="Calibri"/>
                <w:b/>
                <w:bCs/>
                <w:szCs w:val="22"/>
              </w:rPr>
              <w:t xml:space="preserve">Cl. Ref. / </w:t>
            </w:r>
            <w:r w:rsidR="003600E1" w:rsidRPr="00241DE3">
              <w:rPr>
                <w:rFonts w:ascii="Book Antiqua" w:hAnsi="Book Antiqua" w:cs="Calibri"/>
                <w:b/>
                <w:bCs/>
                <w:szCs w:val="22"/>
              </w:rPr>
              <w:t>Description of clause</w:t>
            </w:r>
          </w:p>
        </w:tc>
        <w:tc>
          <w:tcPr>
            <w:tcW w:w="5920" w:type="dxa"/>
            <w:vAlign w:val="center"/>
          </w:tcPr>
          <w:p w14:paraId="0B576906" w14:textId="72B5FDD1" w:rsidR="003600E1" w:rsidRPr="00241DE3" w:rsidRDefault="003600E1" w:rsidP="00241DE3">
            <w:pPr>
              <w:rPr>
                <w:szCs w:val="22"/>
              </w:rPr>
            </w:pPr>
            <w:r w:rsidRPr="00241DE3">
              <w:rPr>
                <w:rFonts w:ascii="Book Antiqua" w:hAnsi="Book Antiqua" w:cs="Calibri"/>
                <w:b/>
                <w:bCs/>
                <w:szCs w:val="22"/>
              </w:rPr>
              <w:t>Queries asked by the bidder</w:t>
            </w:r>
          </w:p>
        </w:tc>
        <w:tc>
          <w:tcPr>
            <w:tcW w:w="4096" w:type="dxa"/>
            <w:vAlign w:val="center"/>
          </w:tcPr>
          <w:p w14:paraId="3364D044" w14:textId="4AD7373B" w:rsidR="003600E1" w:rsidRPr="00241DE3" w:rsidRDefault="003600E1" w:rsidP="00241DE3">
            <w:pPr>
              <w:rPr>
                <w:szCs w:val="22"/>
              </w:rPr>
            </w:pPr>
            <w:r w:rsidRPr="00241DE3">
              <w:rPr>
                <w:rFonts w:ascii="Book Antiqua" w:hAnsi="Book Antiqua" w:cs="Calibri"/>
                <w:b/>
                <w:bCs/>
                <w:szCs w:val="22"/>
              </w:rPr>
              <w:t>POWERGRID’s clarification</w:t>
            </w:r>
          </w:p>
        </w:tc>
      </w:tr>
      <w:tr w:rsidR="003600E1" w14:paraId="72395095" w14:textId="77777777" w:rsidTr="005C3D93">
        <w:tc>
          <w:tcPr>
            <w:tcW w:w="577" w:type="dxa"/>
            <w:vAlign w:val="center"/>
          </w:tcPr>
          <w:p w14:paraId="2D007556" w14:textId="77777777" w:rsidR="003600E1" w:rsidRPr="008C33C3" w:rsidRDefault="003600E1" w:rsidP="00967D76">
            <w:pPr>
              <w:pStyle w:val="ListParagraph"/>
              <w:numPr>
                <w:ilvl w:val="0"/>
                <w:numId w:val="1"/>
              </w:numPr>
              <w:ind w:left="175" w:right="175" w:hanging="175"/>
              <w:rPr>
                <w:rFonts w:ascii="Book Antiqua" w:hAnsi="Book Antiqua" w:cs="Calibri"/>
                <w:szCs w:val="22"/>
              </w:rPr>
            </w:pPr>
          </w:p>
        </w:tc>
        <w:tc>
          <w:tcPr>
            <w:tcW w:w="4150" w:type="dxa"/>
            <w:vAlign w:val="center"/>
          </w:tcPr>
          <w:p w14:paraId="346613A9" w14:textId="77777777" w:rsidR="00405E20" w:rsidRPr="008C33C3" w:rsidRDefault="00405E20" w:rsidP="00405E20">
            <w:pPr>
              <w:jc w:val="both"/>
              <w:rPr>
                <w:rFonts w:ascii="Book Antiqua" w:hAnsi="Book Antiqua" w:cs="Calibri"/>
                <w:szCs w:val="22"/>
              </w:rPr>
            </w:pPr>
            <w:r w:rsidRPr="008C33C3">
              <w:rPr>
                <w:rFonts w:ascii="Book Antiqua" w:hAnsi="Book Antiqua" w:cs="Calibri"/>
                <w:szCs w:val="22"/>
              </w:rPr>
              <w:t>For Route Survey / Tower Schedule</w:t>
            </w:r>
          </w:p>
          <w:p w14:paraId="3C7F39F0" w14:textId="4B0D0313" w:rsidR="003600E1" w:rsidRPr="008C33C3" w:rsidRDefault="00405E20" w:rsidP="00405E20">
            <w:pPr>
              <w:jc w:val="both"/>
              <w:rPr>
                <w:rFonts w:ascii="Book Antiqua" w:hAnsi="Book Antiqua" w:cs="Calibri"/>
                <w:szCs w:val="22"/>
              </w:rPr>
            </w:pPr>
            <w:r w:rsidRPr="008C33C3">
              <w:rPr>
                <w:rFonts w:ascii="Book Antiqua" w:hAnsi="Book Antiqua" w:cs="Calibri"/>
                <w:szCs w:val="22"/>
              </w:rPr>
              <w:t xml:space="preserve">/ Line </w:t>
            </w:r>
            <w:proofErr w:type="spellStart"/>
            <w:r w:rsidRPr="008C33C3">
              <w:rPr>
                <w:rFonts w:ascii="Book Antiqua" w:hAnsi="Book Antiqua" w:cs="Calibri"/>
                <w:szCs w:val="22"/>
              </w:rPr>
              <w:t>Kilometers</w:t>
            </w:r>
            <w:proofErr w:type="spellEnd"/>
            <w:r w:rsidRPr="008C33C3">
              <w:rPr>
                <w:rFonts w:ascii="Book Antiqua" w:hAnsi="Book Antiqua" w:cs="Calibri"/>
                <w:szCs w:val="22"/>
              </w:rPr>
              <w:t>.</w:t>
            </w:r>
          </w:p>
        </w:tc>
        <w:tc>
          <w:tcPr>
            <w:tcW w:w="5920" w:type="dxa"/>
            <w:vAlign w:val="center"/>
          </w:tcPr>
          <w:p w14:paraId="2C74BCE6" w14:textId="77777777" w:rsidR="001965CE" w:rsidRPr="008C33C3" w:rsidRDefault="001965CE" w:rsidP="001965CE">
            <w:pPr>
              <w:jc w:val="both"/>
              <w:rPr>
                <w:rFonts w:ascii="Book Antiqua" w:hAnsi="Book Antiqua" w:cs="Calibri"/>
                <w:szCs w:val="22"/>
              </w:rPr>
            </w:pPr>
            <w:r w:rsidRPr="008C33C3">
              <w:rPr>
                <w:rFonts w:ascii="Book Antiqua" w:hAnsi="Book Antiqua" w:cs="Calibri"/>
                <w:szCs w:val="22"/>
              </w:rPr>
              <w:t>We request you to share the preliminary route survey, tower schedule, and Line Google earth KMZ file.</w:t>
            </w:r>
          </w:p>
          <w:p w14:paraId="157F91DC" w14:textId="77777777" w:rsidR="001965CE" w:rsidRPr="008C33C3" w:rsidRDefault="001965CE" w:rsidP="001965CE">
            <w:pPr>
              <w:jc w:val="both"/>
              <w:rPr>
                <w:rFonts w:ascii="Book Antiqua" w:hAnsi="Book Antiqua" w:cs="Calibri"/>
                <w:szCs w:val="22"/>
              </w:rPr>
            </w:pPr>
            <w:r w:rsidRPr="008C33C3">
              <w:rPr>
                <w:rFonts w:ascii="Book Antiqua" w:hAnsi="Book Antiqua" w:cs="Calibri"/>
                <w:szCs w:val="22"/>
              </w:rPr>
              <w:t>Additionally, we are planning a site visit to Andaman &amp; Nicobar next week.</w:t>
            </w:r>
          </w:p>
          <w:p w14:paraId="77DE8D84" w14:textId="5A0B5147" w:rsidR="003600E1" w:rsidRPr="008C33C3" w:rsidRDefault="001965CE" w:rsidP="001965CE">
            <w:pPr>
              <w:jc w:val="both"/>
              <w:rPr>
                <w:rFonts w:ascii="Book Antiqua" w:hAnsi="Book Antiqua" w:cs="Calibri"/>
                <w:szCs w:val="22"/>
              </w:rPr>
            </w:pPr>
            <w:r w:rsidRPr="008C33C3">
              <w:rPr>
                <w:rFonts w:ascii="Book Antiqua" w:hAnsi="Book Antiqua" w:cs="Calibri"/>
                <w:szCs w:val="22"/>
              </w:rPr>
              <w:t>Kindly advise the contact person and coordination details for the site visit and coordination purpose</w:t>
            </w:r>
          </w:p>
        </w:tc>
        <w:tc>
          <w:tcPr>
            <w:tcW w:w="4096" w:type="dxa"/>
            <w:vAlign w:val="center"/>
          </w:tcPr>
          <w:p w14:paraId="2FE7FF49" w14:textId="30CDD405" w:rsidR="003600E1" w:rsidRPr="008C33C3" w:rsidRDefault="00971BEF" w:rsidP="00967D76">
            <w:pPr>
              <w:jc w:val="both"/>
              <w:rPr>
                <w:rFonts w:ascii="Book Antiqua" w:hAnsi="Book Antiqua" w:cs="Calibri"/>
                <w:szCs w:val="22"/>
              </w:rPr>
            </w:pPr>
            <w:r w:rsidRPr="008C33C3">
              <w:rPr>
                <w:rFonts w:ascii="Book Antiqua" w:hAnsi="Book Antiqua" w:cs="Calibri"/>
                <w:szCs w:val="22"/>
              </w:rPr>
              <w:t>Bidders may visit the line route to acquaint themselves with terrain conditions and associated details of the proposed transmission lines. For details of contact person</w:t>
            </w:r>
            <w:r w:rsidR="00801192" w:rsidRPr="008C33C3">
              <w:rPr>
                <w:rFonts w:ascii="Book Antiqua" w:hAnsi="Book Antiqua" w:cs="Calibri"/>
                <w:szCs w:val="22"/>
              </w:rPr>
              <w:t>,</w:t>
            </w:r>
            <w:r w:rsidRPr="008C33C3">
              <w:rPr>
                <w:rFonts w:ascii="Book Antiqua" w:hAnsi="Book Antiqua" w:cs="Calibri"/>
                <w:szCs w:val="22"/>
              </w:rPr>
              <w:t xml:space="preserve"> Bidders may refer to clause 1.4.1 of Section-IA (Volume-II) of Technical Specification.</w:t>
            </w:r>
          </w:p>
        </w:tc>
      </w:tr>
      <w:tr w:rsidR="003600E1" w14:paraId="51D460FE" w14:textId="77777777" w:rsidTr="005C3D93">
        <w:tc>
          <w:tcPr>
            <w:tcW w:w="577" w:type="dxa"/>
            <w:vAlign w:val="center"/>
          </w:tcPr>
          <w:p w14:paraId="0FDF7BA2" w14:textId="77777777" w:rsidR="003600E1" w:rsidRPr="008C33C3" w:rsidRDefault="003600E1" w:rsidP="00C05CE5">
            <w:pPr>
              <w:pStyle w:val="ListParagraph"/>
              <w:numPr>
                <w:ilvl w:val="0"/>
                <w:numId w:val="1"/>
              </w:numPr>
              <w:ind w:left="175" w:right="175" w:hanging="175"/>
              <w:rPr>
                <w:rFonts w:ascii="Book Antiqua" w:hAnsi="Book Antiqua" w:cs="Calibri"/>
                <w:szCs w:val="22"/>
              </w:rPr>
            </w:pPr>
          </w:p>
        </w:tc>
        <w:tc>
          <w:tcPr>
            <w:tcW w:w="4150" w:type="dxa"/>
            <w:vAlign w:val="center"/>
          </w:tcPr>
          <w:p w14:paraId="4EAB5D7A" w14:textId="5B40E9F8" w:rsidR="00C13320" w:rsidRPr="008C33C3" w:rsidRDefault="0090187A" w:rsidP="00C13320">
            <w:pPr>
              <w:jc w:val="both"/>
              <w:rPr>
                <w:rFonts w:ascii="Book Antiqua" w:hAnsi="Book Antiqua" w:cs="Calibri"/>
                <w:szCs w:val="22"/>
              </w:rPr>
            </w:pPr>
            <w:r w:rsidRPr="008C33C3">
              <w:rPr>
                <w:rFonts w:ascii="Book Antiqua" w:hAnsi="Book Antiqua" w:cs="Calibri"/>
                <w:szCs w:val="22"/>
              </w:rPr>
              <w:t>Price Schedule</w:t>
            </w:r>
            <w:r w:rsidR="0040339A" w:rsidRPr="008C33C3">
              <w:rPr>
                <w:rFonts w:ascii="Book Antiqua" w:hAnsi="Book Antiqua" w:cs="Calibri"/>
                <w:szCs w:val="22"/>
              </w:rPr>
              <w:t xml:space="preserve">: </w:t>
            </w:r>
            <w:r w:rsidR="00C13320" w:rsidRPr="008C33C3">
              <w:rPr>
                <w:rFonts w:ascii="Book Antiqua" w:hAnsi="Book Antiqua" w:cs="Calibri"/>
                <w:szCs w:val="22"/>
              </w:rPr>
              <w:t xml:space="preserve">Items No. </w:t>
            </w:r>
            <w:proofErr w:type="gramStart"/>
            <w:r w:rsidR="00C13320" w:rsidRPr="008C33C3">
              <w:rPr>
                <w:rFonts w:ascii="Book Antiqua" w:hAnsi="Book Antiqua" w:cs="Calibri"/>
                <w:szCs w:val="22"/>
              </w:rPr>
              <w:t>20  and</w:t>
            </w:r>
            <w:proofErr w:type="gramEnd"/>
            <w:r w:rsidR="00C13320" w:rsidRPr="008C33C3">
              <w:rPr>
                <w:rFonts w:ascii="Book Antiqua" w:hAnsi="Book Antiqua" w:cs="Calibri"/>
                <w:szCs w:val="22"/>
              </w:rPr>
              <w:t xml:space="preserve"> 21 of Schedule 1: Work associated with conductor</w:t>
            </w:r>
          </w:p>
          <w:p w14:paraId="1F2DF9B3" w14:textId="77777777" w:rsidR="00C13320" w:rsidRPr="008C33C3" w:rsidRDefault="00C13320" w:rsidP="00C13320">
            <w:pPr>
              <w:jc w:val="both"/>
              <w:rPr>
                <w:rFonts w:ascii="Book Antiqua" w:hAnsi="Book Antiqua" w:cs="Calibri"/>
                <w:szCs w:val="22"/>
              </w:rPr>
            </w:pPr>
            <w:r w:rsidRPr="008C33C3">
              <w:rPr>
                <w:rFonts w:ascii="Book Antiqua" w:hAnsi="Book Antiqua" w:cs="Calibri"/>
                <w:szCs w:val="22"/>
              </w:rPr>
              <w:t>AAAC Panther Conductor</w:t>
            </w:r>
          </w:p>
          <w:p w14:paraId="2F9CD9A9" w14:textId="513FB0B4" w:rsidR="003600E1" w:rsidRPr="008C33C3" w:rsidRDefault="00C13320" w:rsidP="00C13320">
            <w:pPr>
              <w:jc w:val="both"/>
              <w:rPr>
                <w:rFonts w:ascii="Book Antiqua" w:hAnsi="Book Antiqua" w:cs="Calibri"/>
                <w:szCs w:val="22"/>
              </w:rPr>
            </w:pPr>
            <w:r w:rsidRPr="008C33C3">
              <w:rPr>
                <w:rFonts w:ascii="Book Antiqua" w:hAnsi="Book Antiqua" w:cs="Calibri"/>
                <w:szCs w:val="22"/>
              </w:rPr>
              <w:t>Supply of 66 KV AAAC Medium voltage covered conductor (MVCC)</w:t>
            </w:r>
          </w:p>
        </w:tc>
        <w:tc>
          <w:tcPr>
            <w:tcW w:w="5920" w:type="dxa"/>
            <w:vAlign w:val="center"/>
          </w:tcPr>
          <w:p w14:paraId="2F56F952" w14:textId="4402787E" w:rsidR="003600E1" w:rsidRPr="008C33C3" w:rsidRDefault="00CF0D89" w:rsidP="00C05CE5">
            <w:pPr>
              <w:jc w:val="both"/>
              <w:rPr>
                <w:rFonts w:ascii="Book Antiqua" w:hAnsi="Book Antiqua" w:cs="Calibri"/>
                <w:szCs w:val="22"/>
              </w:rPr>
            </w:pPr>
            <w:r w:rsidRPr="008C33C3">
              <w:rPr>
                <w:rFonts w:ascii="Book Antiqua" w:hAnsi="Book Antiqua" w:cs="Calibri"/>
                <w:szCs w:val="22"/>
              </w:rPr>
              <w:t>We request you to kindly confirm the intended application of both conductors, specifically indicating the line sections where the bare conductor and the MVCC (Medium Voltage Covered Conductor) are to be utilized.</w:t>
            </w:r>
          </w:p>
        </w:tc>
        <w:tc>
          <w:tcPr>
            <w:tcW w:w="4096" w:type="dxa"/>
            <w:vAlign w:val="center"/>
          </w:tcPr>
          <w:p w14:paraId="36A778DC" w14:textId="240F7D24" w:rsidR="003600E1" w:rsidRPr="008C33C3" w:rsidRDefault="00F17784" w:rsidP="00C05CE5">
            <w:pPr>
              <w:jc w:val="both"/>
              <w:rPr>
                <w:rFonts w:ascii="Book Antiqua" w:hAnsi="Book Antiqua" w:cs="Calibri"/>
                <w:szCs w:val="22"/>
              </w:rPr>
            </w:pPr>
            <w:r w:rsidRPr="008C33C3">
              <w:rPr>
                <w:rFonts w:ascii="Book Antiqua" w:hAnsi="Book Antiqua" w:cs="Calibri"/>
                <w:szCs w:val="22"/>
              </w:rPr>
              <w:t xml:space="preserve">MVCC </w:t>
            </w:r>
            <w:proofErr w:type="gramStart"/>
            <w:r w:rsidRPr="008C33C3">
              <w:rPr>
                <w:rFonts w:ascii="Book Antiqua" w:hAnsi="Book Antiqua" w:cs="Calibri"/>
                <w:szCs w:val="22"/>
              </w:rPr>
              <w:t>conductor</w:t>
            </w:r>
            <w:proofErr w:type="gramEnd"/>
            <w:r w:rsidRPr="008C33C3">
              <w:rPr>
                <w:rFonts w:ascii="Book Antiqua" w:hAnsi="Book Antiqua" w:cs="Calibri"/>
                <w:szCs w:val="22"/>
              </w:rPr>
              <w:t xml:space="preserve"> are proposed in the stretches covered under forest and bare conductors are proposed for </w:t>
            </w:r>
            <w:proofErr w:type="spellStart"/>
            <w:r w:rsidRPr="008C33C3">
              <w:rPr>
                <w:rFonts w:ascii="Book Antiqua" w:hAnsi="Book Antiqua" w:cs="Calibri"/>
                <w:szCs w:val="22"/>
              </w:rPr>
              <w:t>non forest</w:t>
            </w:r>
            <w:proofErr w:type="spellEnd"/>
            <w:r w:rsidRPr="008C33C3">
              <w:rPr>
                <w:rFonts w:ascii="Book Antiqua" w:hAnsi="Book Antiqua" w:cs="Calibri"/>
                <w:szCs w:val="22"/>
              </w:rPr>
              <w:t xml:space="preserve"> zones and long spans in creeks.</w:t>
            </w:r>
          </w:p>
        </w:tc>
      </w:tr>
      <w:tr w:rsidR="003600E1" w14:paraId="50BD1B14" w14:textId="77777777" w:rsidTr="005C3D93">
        <w:tc>
          <w:tcPr>
            <w:tcW w:w="577" w:type="dxa"/>
            <w:vAlign w:val="center"/>
          </w:tcPr>
          <w:p w14:paraId="7039C538" w14:textId="77777777" w:rsidR="003600E1" w:rsidRPr="008C33C3" w:rsidRDefault="003600E1" w:rsidP="004B76F7">
            <w:pPr>
              <w:pStyle w:val="ListParagraph"/>
              <w:numPr>
                <w:ilvl w:val="0"/>
                <w:numId w:val="1"/>
              </w:numPr>
              <w:ind w:left="175" w:right="175" w:hanging="175"/>
              <w:rPr>
                <w:rFonts w:ascii="Book Antiqua" w:hAnsi="Book Antiqua" w:cs="Calibri"/>
                <w:szCs w:val="22"/>
              </w:rPr>
            </w:pPr>
          </w:p>
        </w:tc>
        <w:tc>
          <w:tcPr>
            <w:tcW w:w="4150" w:type="dxa"/>
            <w:vAlign w:val="center"/>
          </w:tcPr>
          <w:p w14:paraId="5A6F9181" w14:textId="7607B210" w:rsidR="003600E1" w:rsidRPr="008C33C3" w:rsidRDefault="003A20E0" w:rsidP="004B76F7">
            <w:pPr>
              <w:jc w:val="both"/>
              <w:rPr>
                <w:rFonts w:ascii="Book Antiqua" w:hAnsi="Book Antiqua" w:cs="Calibri"/>
                <w:szCs w:val="22"/>
              </w:rPr>
            </w:pPr>
            <w:r w:rsidRPr="008C33C3">
              <w:rPr>
                <w:rFonts w:ascii="Book Antiqua" w:hAnsi="Book Antiqua" w:cs="Calibri"/>
                <w:szCs w:val="22"/>
              </w:rPr>
              <w:t xml:space="preserve">Part 2/ Sec IV E&amp;F/10: </w:t>
            </w:r>
            <w:r w:rsidR="00811A7F" w:rsidRPr="008C33C3">
              <w:rPr>
                <w:rFonts w:ascii="Book Antiqua" w:hAnsi="Book Antiqua" w:cs="Calibri"/>
                <w:szCs w:val="22"/>
              </w:rPr>
              <w:t>Corrosion resistant steel (CRS) of grade Fe500 / Fe 500D / Fe 550 / Fe 550D conforming to IS 1786 may be adopted as an alternative to epoxy coated reinforcement for foundation in coastal areas or creek or aggressive soil areas or under marine environment.</w:t>
            </w:r>
          </w:p>
        </w:tc>
        <w:tc>
          <w:tcPr>
            <w:tcW w:w="5920" w:type="dxa"/>
            <w:vAlign w:val="center"/>
          </w:tcPr>
          <w:p w14:paraId="052DDFE7" w14:textId="48FB61D5" w:rsidR="003600E1" w:rsidRPr="008C33C3" w:rsidRDefault="00D06632" w:rsidP="004B76F7">
            <w:pPr>
              <w:jc w:val="both"/>
              <w:rPr>
                <w:rFonts w:ascii="Book Antiqua" w:hAnsi="Book Antiqua" w:cs="Calibri"/>
                <w:szCs w:val="22"/>
              </w:rPr>
            </w:pPr>
            <w:r w:rsidRPr="008C33C3">
              <w:rPr>
                <w:rFonts w:ascii="Book Antiqua" w:hAnsi="Book Antiqua" w:cs="Calibri"/>
                <w:szCs w:val="22"/>
              </w:rPr>
              <w:t>We request you to kindly confirm whether the use of CRS grade steel is acceptable as an alternative to epoxy-coated steel, provided all applicable technical, performance, and corrosion-protection requirements are met.</w:t>
            </w:r>
          </w:p>
        </w:tc>
        <w:tc>
          <w:tcPr>
            <w:tcW w:w="4096" w:type="dxa"/>
            <w:vAlign w:val="center"/>
          </w:tcPr>
          <w:p w14:paraId="4BF352D2" w14:textId="23AD36DD" w:rsidR="003600E1" w:rsidRPr="008C33C3" w:rsidRDefault="00336ED4" w:rsidP="004B76F7">
            <w:pPr>
              <w:jc w:val="both"/>
              <w:rPr>
                <w:rFonts w:ascii="Book Antiqua" w:hAnsi="Book Antiqua" w:cs="Calibri"/>
                <w:szCs w:val="22"/>
              </w:rPr>
            </w:pPr>
            <w:r w:rsidRPr="008C33C3">
              <w:rPr>
                <w:rFonts w:ascii="Book Antiqua" w:hAnsi="Book Antiqua" w:cs="Calibri"/>
                <w:szCs w:val="22"/>
              </w:rPr>
              <w:t>Provisions of the Technical Specifications are to be followed.</w:t>
            </w:r>
          </w:p>
        </w:tc>
      </w:tr>
      <w:tr w:rsidR="003600E1" w14:paraId="653FEA5E" w14:textId="77777777" w:rsidTr="005C3D93">
        <w:trPr>
          <w:trHeight w:val="4742"/>
        </w:trPr>
        <w:tc>
          <w:tcPr>
            <w:tcW w:w="577" w:type="dxa"/>
            <w:vAlign w:val="center"/>
          </w:tcPr>
          <w:p w14:paraId="523428EA" w14:textId="77777777" w:rsidR="003600E1" w:rsidRPr="00F44F86" w:rsidRDefault="003600E1" w:rsidP="00A16452">
            <w:pPr>
              <w:pStyle w:val="ListParagraph"/>
              <w:numPr>
                <w:ilvl w:val="0"/>
                <w:numId w:val="1"/>
              </w:numPr>
              <w:ind w:left="175" w:right="175" w:hanging="175"/>
              <w:rPr>
                <w:rFonts w:ascii="Book Antiqua" w:hAnsi="Book Antiqua" w:cs="Calibri"/>
                <w:szCs w:val="22"/>
              </w:rPr>
            </w:pPr>
          </w:p>
        </w:tc>
        <w:tc>
          <w:tcPr>
            <w:tcW w:w="4150" w:type="dxa"/>
            <w:vAlign w:val="center"/>
          </w:tcPr>
          <w:p w14:paraId="1F63ACB6" w14:textId="77777777" w:rsidR="00863FCE" w:rsidRPr="007B7FD8" w:rsidRDefault="001C6D83" w:rsidP="00863FCE">
            <w:pPr>
              <w:jc w:val="both"/>
              <w:rPr>
                <w:rFonts w:ascii="Book Antiqua" w:hAnsi="Book Antiqua" w:cs="Calibri"/>
                <w:sz w:val="20"/>
              </w:rPr>
            </w:pPr>
            <w:r w:rsidRPr="007B7FD8">
              <w:rPr>
                <w:rFonts w:ascii="Book Antiqua" w:hAnsi="Book Antiqua" w:cs="Calibri"/>
                <w:sz w:val="20"/>
              </w:rPr>
              <w:t xml:space="preserve">Part 2/ Sec IVF/26: </w:t>
            </w:r>
            <w:r w:rsidR="00863FCE" w:rsidRPr="007B7FD8">
              <w:rPr>
                <w:rFonts w:ascii="Book Antiqua" w:hAnsi="Book Antiqua" w:cs="Calibri"/>
                <w:sz w:val="20"/>
              </w:rPr>
              <w:t xml:space="preserve">The pole structures shall be </w:t>
            </w:r>
            <w:proofErr w:type="gramStart"/>
            <w:r w:rsidR="00863FCE" w:rsidRPr="007B7FD8">
              <w:rPr>
                <w:rFonts w:ascii="Book Antiqua" w:hAnsi="Book Antiqua" w:cs="Calibri"/>
                <w:sz w:val="20"/>
              </w:rPr>
              <w:t>proto type</w:t>
            </w:r>
            <w:proofErr w:type="gramEnd"/>
            <w:r w:rsidR="00863FCE" w:rsidRPr="007B7FD8">
              <w:rPr>
                <w:rFonts w:ascii="Book Antiqua" w:hAnsi="Book Antiqua" w:cs="Calibri"/>
                <w:sz w:val="20"/>
              </w:rPr>
              <w:t xml:space="preserve"> tested with the extension mentioned in </w:t>
            </w:r>
          </w:p>
          <w:p w14:paraId="257EECF5" w14:textId="77777777" w:rsidR="006F56D0" w:rsidRPr="007B7FD8" w:rsidRDefault="00863FCE" w:rsidP="003A5562">
            <w:pPr>
              <w:jc w:val="both"/>
              <w:rPr>
                <w:rFonts w:ascii="Book Antiqua" w:hAnsi="Book Antiqua" w:cs="Calibri"/>
                <w:sz w:val="20"/>
              </w:rPr>
            </w:pPr>
            <w:r w:rsidRPr="007B7FD8">
              <w:rPr>
                <w:rFonts w:ascii="Book Antiqua" w:hAnsi="Book Antiqua" w:cs="Calibri"/>
                <w:sz w:val="20"/>
              </w:rPr>
              <w:t xml:space="preserve">the following table by the contractor at any testing station having facilities to </w:t>
            </w:r>
            <w:proofErr w:type="spellStart"/>
            <w:r w:rsidRPr="007B7FD8">
              <w:rPr>
                <w:rFonts w:ascii="Book Antiqua" w:hAnsi="Book Antiqua" w:cs="Calibri"/>
                <w:sz w:val="20"/>
              </w:rPr>
              <w:t>testthe</w:t>
            </w:r>
            <w:proofErr w:type="spellEnd"/>
            <w:r w:rsidRPr="007B7FD8">
              <w:rPr>
                <w:rFonts w:ascii="Book Antiqua" w:hAnsi="Book Antiqua" w:cs="Calibri"/>
                <w:sz w:val="20"/>
              </w:rPr>
              <w:t xml:space="preserve"> structures. The </w:t>
            </w:r>
            <w:proofErr w:type="gramStart"/>
            <w:r w:rsidRPr="007B7FD8">
              <w:rPr>
                <w:rFonts w:ascii="Book Antiqua" w:hAnsi="Book Antiqua" w:cs="Calibri"/>
                <w:sz w:val="20"/>
              </w:rPr>
              <w:t>proto type</w:t>
            </w:r>
            <w:proofErr w:type="gramEnd"/>
            <w:r w:rsidRPr="007B7FD8">
              <w:rPr>
                <w:rFonts w:ascii="Book Antiqua" w:hAnsi="Book Antiqua" w:cs="Calibri"/>
                <w:sz w:val="20"/>
              </w:rPr>
              <w:t xml:space="preserve"> pole structures after inspection by employer shall be transported to the test bed by the Contractor. ..**</w:t>
            </w:r>
          </w:p>
          <w:p w14:paraId="0F66782C" w14:textId="1B92CF4F" w:rsidR="00DB2517" w:rsidRDefault="0044532E" w:rsidP="003A5562">
            <w:pPr>
              <w:jc w:val="both"/>
              <w:rPr>
                <w:rFonts w:ascii="Book Antiqua" w:hAnsi="Book Antiqua" w:cs="Calibri"/>
                <w:sz w:val="20"/>
              </w:rPr>
            </w:pPr>
            <w:r w:rsidRPr="006434DC">
              <w:rPr>
                <w:rFonts w:ascii="Calibri" w:eastAsia="Times New Roman" w:hAnsi="Calibri" w:cs="Calibri"/>
                <w:noProof/>
                <w:color w:val="000000"/>
                <w:kern w:val="0"/>
                <w:szCs w:val="22"/>
                <w:lang w:eastAsia="en-IN"/>
                <w14:ligatures w14:val="none"/>
              </w:rPr>
              <w:drawing>
                <wp:anchor distT="0" distB="0" distL="114300" distR="114300" simplePos="0" relativeHeight="251667456" behindDoc="0" locked="0" layoutInCell="1" allowOverlap="1" wp14:anchorId="142F58F7" wp14:editId="1F657257">
                  <wp:simplePos x="0" y="0"/>
                  <wp:positionH relativeFrom="column">
                    <wp:posOffset>-36830</wp:posOffset>
                  </wp:positionH>
                  <wp:positionV relativeFrom="paragraph">
                    <wp:posOffset>66040</wp:posOffset>
                  </wp:positionV>
                  <wp:extent cx="2343150" cy="1285875"/>
                  <wp:effectExtent l="0" t="0" r="0" b="9525"/>
                  <wp:wrapNone/>
                  <wp:docPr id="4" name="Picture 4">
                    <a:extLst xmlns:a="http://schemas.openxmlformats.org/drawingml/2006/main">
                      <a:ext uri="{FF2B5EF4-FFF2-40B4-BE49-F238E27FC236}">
                        <a16:creationId xmlns:a16="http://schemas.microsoft.com/office/drawing/2014/main" id="{C88F76A3-CDE3-4291-99BA-E24783EEF26F}"/>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88F76A3-CDE3-4291-99BA-E24783EEF26F}"/>
                              </a:ext>
                            </a:extLst>
                          </pic:cNvPr>
                          <pic:cNvPicPr>
                            <a:picLocks noChangeAspect="1"/>
                          </pic:cNvPicPr>
                        </pic:nvPicPr>
                        <pic:blipFill>
                          <a:blip r:embed="rId7"/>
                          <a:stretch>
                            <a:fillRect/>
                          </a:stretch>
                        </pic:blipFill>
                        <pic:spPr>
                          <a:xfrm>
                            <a:off x="0" y="0"/>
                            <a:ext cx="2343150" cy="1285875"/>
                          </a:xfrm>
                          <a:prstGeom prst="rect">
                            <a:avLst/>
                          </a:prstGeom>
                        </pic:spPr>
                      </pic:pic>
                    </a:graphicData>
                  </a:graphic>
                  <wp14:sizeRelH relativeFrom="page">
                    <wp14:pctWidth>0</wp14:pctWidth>
                  </wp14:sizeRelH>
                  <wp14:sizeRelV relativeFrom="page">
                    <wp14:pctHeight>0</wp14:pctHeight>
                  </wp14:sizeRelV>
                </wp:anchor>
              </w:drawing>
            </w:r>
          </w:p>
          <w:p w14:paraId="004D9829" w14:textId="02D0B3EA" w:rsidR="00DB2517" w:rsidRDefault="00DB2517" w:rsidP="003A5562">
            <w:pPr>
              <w:jc w:val="both"/>
              <w:rPr>
                <w:rFonts w:ascii="Book Antiqua" w:hAnsi="Book Antiqua" w:cs="Calibri"/>
                <w:sz w:val="20"/>
              </w:rPr>
            </w:pPr>
          </w:p>
        </w:tc>
        <w:tc>
          <w:tcPr>
            <w:tcW w:w="5920" w:type="dxa"/>
            <w:vAlign w:val="center"/>
          </w:tcPr>
          <w:p w14:paraId="3BD2FC24" w14:textId="56A60356" w:rsidR="003600E1" w:rsidRPr="007B7FD8" w:rsidRDefault="003E765C" w:rsidP="00A16452">
            <w:pPr>
              <w:jc w:val="both"/>
              <w:rPr>
                <w:rFonts w:ascii="Book Antiqua" w:hAnsi="Book Antiqua" w:cs="Calibri"/>
                <w:sz w:val="20"/>
              </w:rPr>
            </w:pPr>
            <w:r w:rsidRPr="007B7FD8">
              <w:rPr>
                <w:rFonts w:ascii="Book Antiqua" w:eastAsia="Times New Roman" w:hAnsi="Book Antiqua" w:cs="Calibri"/>
                <w:color w:val="000000"/>
                <w:kern w:val="0"/>
                <w:sz w:val="20"/>
                <w:lang w:eastAsia="en-IN"/>
                <w14:ligatures w14:val="none"/>
              </w:rPr>
              <w:t>We understand that the +9 m extension of 66 kV poles may require type testing, as the type-testing table in the technical specifications does not indicate voltage levels below 132 kV. We request you to kindly confirm the applicability of type testing for the 66 kV pole extensions.</w:t>
            </w:r>
          </w:p>
        </w:tc>
        <w:tc>
          <w:tcPr>
            <w:tcW w:w="4096" w:type="dxa"/>
            <w:vAlign w:val="center"/>
          </w:tcPr>
          <w:p w14:paraId="281FC11B" w14:textId="08C11704" w:rsidR="003600E1" w:rsidRPr="007B7FD8" w:rsidRDefault="00A23180" w:rsidP="00A16452">
            <w:pPr>
              <w:jc w:val="both"/>
              <w:rPr>
                <w:rFonts w:ascii="Book Antiqua" w:hAnsi="Book Antiqua" w:cs="Calibri"/>
                <w:sz w:val="20"/>
              </w:rPr>
            </w:pPr>
            <w:r w:rsidRPr="007B7FD8">
              <w:rPr>
                <w:rFonts w:ascii="Book Antiqua" w:hAnsi="Book Antiqua" w:cs="Calibri"/>
                <w:sz w:val="20"/>
              </w:rPr>
              <w:t>Bidders may refer to clause 3.4 (k) Sr. No 5.0 of SECTION-I A (VOLUME-II), Rev 15 (Sept’2025) of the Technical Specification.</w:t>
            </w:r>
          </w:p>
        </w:tc>
      </w:tr>
      <w:tr w:rsidR="003600E1" w14:paraId="768E11B7" w14:textId="77777777" w:rsidTr="005C3D93">
        <w:tc>
          <w:tcPr>
            <w:tcW w:w="577" w:type="dxa"/>
            <w:vAlign w:val="center"/>
          </w:tcPr>
          <w:p w14:paraId="4D515FA4" w14:textId="77777777" w:rsidR="003600E1" w:rsidRPr="00F44F86" w:rsidRDefault="003600E1" w:rsidP="004B76F7">
            <w:pPr>
              <w:pStyle w:val="ListParagraph"/>
              <w:numPr>
                <w:ilvl w:val="0"/>
                <w:numId w:val="1"/>
              </w:numPr>
              <w:ind w:left="175" w:right="175" w:hanging="175"/>
              <w:rPr>
                <w:rFonts w:ascii="Book Antiqua" w:hAnsi="Book Antiqua" w:cs="Calibri"/>
                <w:szCs w:val="22"/>
              </w:rPr>
            </w:pPr>
          </w:p>
        </w:tc>
        <w:tc>
          <w:tcPr>
            <w:tcW w:w="4150" w:type="dxa"/>
            <w:vAlign w:val="center"/>
          </w:tcPr>
          <w:p w14:paraId="31A48B1E" w14:textId="1CFF2C12" w:rsidR="003600E1" w:rsidRPr="00C74E80" w:rsidRDefault="00685CA6" w:rsidP="004B76F7">
            <w:pPr>
              <w:jc w:val="both"/>
              <w:rPr>
                <w:rFonts w:ascii="Book Antiqua" w:hAnsi="Book Antiqua" w:cs="Calibri"/>
                <w:sz w:val="20"/>
              </w:rPr>
            </w:pPr>
            <w:r w:rsidRPr="00685CA6">
              <w:rPr>
                <w:rFonts w:ascii="Book Antiqua" w:hAnsi="Book Antiqua" w:cs="Calibri"/>
                <w:sz w:val="20"/>
              </w:rPr>
              <w:t>Part 2 / Sec VII C/4</w:t>
            </w:r>
            <w:r>
              <w:rPr>
                <w:rFonts w:ascii="Book Antiqua" w:hAnsi="Book Antiqua" w:cs="Calibri"/>
                <w:sz w:val="20"/>
              </w:rPr>
              <w:t xml:space="preserve">: </w:t>
            </w:r>
            <w:r w:rsidR="00012B61" w:rsidRPr="00012B61">
              <w:rPr>
                <w:rFonts w:ascii="Book Antiqua" w:hAnsi="Book Antiqua" w:cs="Calibri"/>
                <w:sz w:val="20"/>
              </w:rPr>
              <w:t xml:space="preserve">The scope includes supplying, drawing, testing </w:t>
            </w:r>
            <w:proofErr w:type="spellStart"/>
            <w:r w:rsidR="00012B61" w:rsidRPr="00012B61">
              <w:rPr>
                <w:rFonts w:ascii="Book Antiqua" w:hAnsi="Book Antiqua" w:cs="Calibri"/>
                <w:sz w:val="20"/>
              </w:rPr>
              <w:t>andcommissioning</w:t>
            </w:r>
            <w:proofErr w:type="spellEnd"/>
            <w:r w:rsidR="00012B61" w:rsidRPr="00012B61">
              <w:rPr>
                <w:rFonts w:ascii="Book Antiqua" w:hAnsi="Book Antiqua" w:cs="Calibri"/>
                <w:sz w:val="20"/>
              </w:rPr>
              <w:t xml:space="preserve"> of AAAC (All </w:t>
            </w:r>
            <w:proofErr w:type="spellStart"/>
            <w:r w:rsidR="00012B61" w:rsidRPr="00012B61">
              <w:rPr>
                <w:rFonts w:ascii="Book Antiqua" w:hAnsi="Book Antiqua" w:cs="Calibri"/>
                <w:sz w:val="20"/>
              </w:rPr>
              <w:t>Aluminum</w:t>
            </w:r>
            <w:proofErr w:type="spellEnd"/>
            <w:r w:rsidR="00012B61" w:rsidRPr="00012B61">
              <w:rPr>
                <w:rFonts w:ascii="Book Antiqua" w:hAnsi="Book Antiqua" w:cs="Calibri"/>
                <w:sz w:val="20"/>
              </w:rPr>
              <w:t xml:space="preserve"> Alloy Conductor) panther equivalent covered conductor of as per STP mentioned at Annexure-B2 suitable for 66kV S/C and D/C transmission lines on Steel Monopoles/Towers being constructed in Marine Environment of Andaman and Nicobar Island and passing through dense forest and wet environment. </w:t>
            </w:r>
          </w:p>
        </w:tc>
        <w:tc>
          <w:tcPr>
            <w:tcW w:w="5920" w:type="dxa"/>
            <w:vAlign w:val="center"/>
          </w:tcPr>
          <w:p w14:paraId="1079D352" w14:textId="179C34DD" w:rsidR="003600E1" w:rsidRPr="00C74E80" w:rsidRDefault="00BF454D" w:rsidP="004B76F7">
            <w:pPr>
              <w:jc w:val="both"/>
              <w:rPr>
                <w:rFonts w:ascii="Book Antiqua" w:hAnsi="Book Antiqua" w:cs="Calibri"/>
                <w:sz w:val="20"/>
              </w:rPr>
            </w:pPr>
            <w:r w:rsidRPr="00BF454D">
              <w:rPr>
                <w:rFonts w:ascii="Book Antiqua" w:hAnsi="Book Antiqua" w:cs="Calibri"/>
                <w:sz w:val="20"/>
              </w:rPr>
              <w:t>We request you to kindly provide the Guaranteed Technical Particulars (GTP) for MVCC, as manufacturers are seeking a reference. Certain parameters, such as minimum XLPE insulation thickness and other critical criteria, are not clearly specified in the technical specifications.</w:t>
            </w:r>
            <w:r>
              <w:t xml:space="preserve"> </w:t>
            </w:r>
            <w:r w:rsidRPr="00BF454D">
              <w:rPr>
                <w:rFonts w:ascii="Book Antiqua" w:hAnsi="Book Antiqua" w:cs="Calibri"/>
                <w:sz w:val="20"/>
              </w:rPr>
              <w:t>We request you to kindly provide the Guaranteed Technical Particulars (GTP) for MVCC, as manufacturers are seeking a reference. Certain parameters, such as minimum XLPE insulation thickness and other critical criteria, are not clearly specified in the technical specifications.</w:t>
            </w:r>
          </w:p>
        </w:tc>
        <w:tc>
          <w:tcPr>
            <w:tcW w:w="4096" w:type="dxa"/>
            <w:vAlign w:val="center"/>
          </w:tcPr>
          <w:p w14:paraId="2CACA6F7" w14:textId="7595124E" w:rsidR="003600E1" w:rsidRPr="00C74E80" w:rsidRDefault="00B62657" w:rsidP="004B76F7">
            <w:pPr>
              <w:jc w:val="both"/>
              <w:rPr>
                <w:rFonts w:ascii="Book Antiqua" w:hAnsi="Book Antiqua" w:cs="Calibri"/>
                <w:sz w:val="20"/>
              </w:rPr>
            </w:pPr>
            <w:r w:rsidRPr="00B62657">
              <w:rPr>
                <w:rFonts w:ascii="Book Antiqua" w:hAnsi="Book Antiqua" w:cs="Calibri"/>
                <w:sz w:val="20"/>
              </w:rPr>
              <w:t xml:space="preserve">Bidders may refer to SECTION-VIIC (VOLUME-II), Rev 0 (Sep’2025) of the Technical Specification in general and Clause 1.5.7 for insulation requirement. GTP for the MVCC </w:t>
            </w:r>
            <w:proofErr w:type="gramStart"/>
            <w:r w:rsidRPr="00B62657">
              <w:rPr>
                <w:rFonts w:ascii="Book Antiqua" w:hAnsi="Book Antiqua" w:cs="Calibri"/>
                <w:sz w:val="20"/>
              </w:rPr>
              <w:t>has to</w:t>
            </w:r>
            <w:proofErr w:type="gramEnd"/>
            <w:r w:rsidRPr="00B62657">
              <w:rPr>
                <w:rFonts w:ascii="Book Antiqua" w:hAnsi="Book Antiqua" w:cs="Calibri"/>
                <w:sz w:val="20"/>
              </w:rPr>
              <w:t xml:space="preserve"> be provided by the successful bidder during detail engineering.</w:t>
            </w:r>
          </w:p>
        </w:tc>
      </w:tr>
      <w:tr w:rsidR="003600E1" w14:paraId="62679021" w14:textId="77777777" w:rsidTr="005C3D93">
        <w:tc>
          <w:tcPr>
            <w:tcW w:w="577" w:type="dxa"/>
            <w:vAlign w:val="center"/>
          </w:tcPr>
          <w:p w14:paraId="54874FFE" w14:textId="77777777" w:rsidR="003600E1" w:rsidRPr="00F44F86" w:rsidRDefault="003600E1" w:rsidP="001C2EA2">
            <w:pPr>
              <w:pStyle w:val="ListParagraph"/>
              <w:numPr>
                <w:ilvl w:val="0"/>
                <w:numId w:val="1"/>
              </w:numPr>
              <w:ind w:left="175" w:right="175" w:hanging="175"/>
              <w:rPr>
                <w:rFonts w:ascii="Book Antiqua" w:hAnsi="Book Antiqua" w:cs="Calibri"/>
                <w:szCs w:val="22"/>
              </w:rPr>
            </w:pPr>
          </w:p>
        </w:tc>
        <w:tc>
          <w:tcPr>
            <w:tcW w:w="4150" w:type="dxa"/>
            <w:vAlign w:val="center"/>
          </w:tcPr>
          <w:p w14:paraId="4140A32C" w14:textId="6856CFDB" w:rsidR="003600E1" w:rsidRPr="00E91BEB" w:rsidRDefault="007D7F3B" w:rsidP="001C2EA2">
            <w:pPr>
              <w:jc w:val="both"/>
              <w:rPr>
                <w:rFonts w:ascii="Book Antiqua" w:hAnsi="Book Antiqua" w:cs="Calibri"/>
                <w:sz w:val="20"/>
                <w:highlight w:val="yellow"/>
              </w:rPr>
            </w:pPr>
            <w:r w:rsidRPr="007D7F3B">
              <w:rPr>
                <w:rFonts w:ascii="Book Antiqua" w:hAnsi="Book Antiqua" w:cs="Calibri"/>
                <w:sz w:val="20"/>
              </w:rPr>
              <w:t>Part 2 / Sec VII C/11</w:t>
            </w:r>
            <w:r>
              <w:rPr>
                <w:rFonts w:ascii="Book Antiqua" w:hAnsi="Book Antiqua" w:cs="Calibri"/>
                <w:sz w:val="20"/>
              </w:rPr>
              <w:t xml:space="preserve">: </w:t>
            </w:r>
            <w:r w:rsidR="00D23601" w:rsidRPr="00D23601">
              <w:rPr>
                <w:rFonts w:ascii="Book Antiqua" w:hAnsi="Book Antiqua" w:cs="Calibri"/>
                <w:sz w:val="20"/>
              </w:rPr>
              <w:t>**Type tests specified under Clause 2.1 shall not be required to be carried out if supplier has conducted these tests earlier on the same conductor &amp; same bundle configuration (applicable for tests ‘c’ &amp; ‘d’) and valid type test certificates are available. The test certificate shall be considered valid if......**</w:t>
            </w:r>
          </w:p>
        </w:tc>
        <w:tc>
          <w:tcPr>
            <w:tcW w:w="5920" w:type="dxa"/>
            <w:vAlign w:val="center"/>
          </w:tcPr>
          <w:p w14:paraId="67C09C15" w14:textId="0C5A62D2" w:rsidR="003600E1" w:rsidRPr="001C2EA2" w:rsidRDefault="00705152" w:rsidP="001C2EA2">
            <w:pPr>
              <w:jc w:val="both"/>
              <w:rPr>
                <w:rFonts w:ascii="Book Antiqua" w:hAnsi="Book Antiqua" w:cs="Calibri"/>
                <w:sz w:val="20"/>
              </w:rPr>
            </w:pPr>
            <w:r w:rsidRPr="00705152">
              <w:rPr>
                <w:rFonts w:ascii="Book Antiqua" w:hAnsi="Book Antiqua" w:cs="Calibri"/>
                <w:sz w:val="20"/>
              </w:rPr>
              <w:t>From the referenced clause, we understand that if a manufacturer has already carried out type testing for a similar conductor within the last ten (10) years, further type testing may not be required. We request you to kindly confirm if the same conductor or higher capacity MVCC conductor can be considered.</w:t>
            </w:r>
          </w:p>
        </w:tc>
        <w:tc>
          <w:tcPr>
            <w:tcW w:w="4096" w:type="dxa"/>
            <w:vAlign w:val="center"/>
          </w:tcPr>
          <w:p w14:paraId="6330CE4F" w14:textId="67743CE2" w:rsidR="003600E1" w:rsidRPr="00C74E80" w:rsidRDefault="00431FF3" w:rsidP="001C2EA2">
            <w:pPr>
              <w:jc w:val="both"/>
              <w:rPr>
                <w:rFonts w:ascii="Book Antiqua" w:hAnsi="Book Antiqua" w:cs="Calibri"/>
                <w:sz w:val="20"/>
              </w:rPr>
            </w:pPr>
            <w:r w:rsidRPr="00431FF3">
              <w:rPr>
                <w:rFonts w:ascii="Book Antiqua" w:hAnsi="Book Antiqua" w:cs="Calibri"/>
                <w:sz w:val="20"/>
              </w:rPr>
              <w:t>If the tests are performed on same design and materials meeting technical requirement mentioned in the specification, the type testing shall not be required.</w:t>
            </w:r>
          </w:p>
        </w:tc>
      </w:tr>
      <w:tr w:rsidR="003600E1" w14:paraId="620661BC" w14:textId="77777777" w:rsidTr="005C3D93">
        <w:tc>
          <w:tcPr>
            <w:tcW w:w="577" w:type="dxa"/>
            <w:vAlign w:val="center"/>
          </w:tcPr>
          <w:p w14:paraId="7527F176" w14:textId="77777777" w:rsidR="003600E1" w:rsidRPr="00F44F86" w:rsidRDefault="003600E1" w:rsidP="008E1352">
            <w:pPr>
              <w:pStyle w:val="ListParagraph"/>
              <w:numPr>
                <w:ilvl w:val="0"/>
                <w:numId w:val="1"/>
              </w:numPr>
              <w:ind w:left="175" w:right="175" w:hanging="175"/>
              <w:rPr>
                <w:rFonts w:ascii="Book Antiqua" w:hAnsi="Book Antiqua" w:cs="Calibri"/>
                <w:szCs w:val="22"/>
              </w:rPr>
            </w:pPr>
          </w:p>
        </w:tc>
        <w:tc>
          <w:tcPr>
            <w:tcW w:w="4150" w:type="dxa"/>
            <w:vAlign w:val="center"/>
          </w:tcPr>
          <w:p w14:paraId="34261C2B" w14:textId="77777777" w:rsidR="00B81CC2" w:rsidRPr="00B81CC2" w:rsidRDefault="00727865" w:rsidP="00B81CC2">
            <w:pPr>
              <w:jc w:val="both"/>
              <w:rPr>
                <w:rFonts w:ascii="Book Antiqua" w:hAnsi="Book Antiqua" w:cs="Calibri"/>
                <w:sz w:val="20"/>
              </w:rPr>
            </w:pPr>
            <w:r w:rsidRPr="00727865">
              <w:rPr>
                <w:rFonts w:ascii="Book Antiqua" w:hAnsi="Book Antiqua" w:cs="Calibri"/>
                <w:sz w:val="20"/>
              </w:rPr>
              <w:t>Part 2/ 13/</w:t>
            </w:r>
            <w:proofErr w:type="spellStart"/>
            <w:r w:rsidRPr="00727865">
              <w:rPr>
                <w:rFonts w:ascii="Book Antiqua" w:hAnsi="Book Antiqua" w:cs="Calibri"/>
                <w:sz w:val="20"/>
              </w:rPr>
              <w:t>TSNote</w:t>
            </w:r>
            <w:proofErr w:type="spellEnd"/>
            <w:r w:rsidRPr="00727865">
              <w:rPr>
                <w:rFonts w:ascii="Book Antiqua" w:hAnsi="Book Antiqua" w:cs="Calibri"/>
                <w:sz w:val="20"/>
              </w:rPr>
              <w:t xml:space="preserve"> TL/3.0(a)/1</w:t>
            </w:r>
            <w:r>
              <w:rPr>
                <w:rFonts w:ascii="Book Antiqua" w:hAnsi="Book Antiqua" w:cs="Calibri"/>
                <w:sz w:val="20"/>
              </w:rPr>
              <w:t xml:space="preserve">: </w:t>
            </w:r>
            <w:r w:rsidR="00B81CC2" w:rsidRPr="00B81CC2">
              <w:rPr>
                <w:rFonts w:ascii="Book Antiqua" w:hAnsi="Book Antiqua" w:cs="Calibri"/>
                <w:sz w:val="20"/>
              </w:rPr>
              <w:t>(</w:t>
            </w:r>
            <w:proofErr w:type="spellStart"/>
            <w:r w:rsidR="00B81CC2" w:rsidRPr="00B81CC2">
              <w:rPr>
                <w:rFonts w:ascii="Book Antiqua" w:hAnsi="Book Antiqua" w:cs="Calibri"/>
                <w:sz w:val="20"/>
              </w:rPr>
              <w:t>i</w:t>
            </w:r>
            <w:proofErr w:type="spellEnd"/>
            <w:r w:rsidR="00B81CC2" w:rsidRPr="00B81CC2">
              <w:rPr>
                <w:rFonts w:ascii="Book Antiqua" w:hAnsi="Book Antiqua" w:cs="Calibri"/>
                <w:sz w:val="20"/>
              </w:rPr>
              <w:t xml:space="preserve">) For lattice towers, only 66KV DD type tower is envisaged. Standard design of 66KV DD type tower is not currently available. Accordingly, it is proposed to adopt the available design of 66KV DD tower of WZ-4 under Comprehensive scheme in Sikkim with suitable modification in span for subject transmission line packages. </w:t>
            </w:r>
          </w:p>
          <w:p w14:paraId="4C24C887" w14:textId="35136A0D" w:rsidR="003600E1" w:rsidRPr="001315F9" w:rsidRDefault="00B81CC2" w:rsidP="00B81CC2">
            <w:pPr>
              <w:jc w:val="both"/>
              <w:rPr>
                <w:rFonts w:ascii="Book Antiqua" w:hAnsi="Book Antiqua" w:cs="Calibri"/>
                <w:sz w:val="20"/>
              </w:rPr>
            </w:pPr>
            <w:r w:rsidRPr="00B81CC2">
              <w:rPr>
                <w:rFonts w:ascii="Book Antiqua" w:hAnsi="Book Antiqua" w:cs="Calibri"/>
                <w:sz w:val="20"/>
              </w:rPr>
              <w:t>(ii)For DD60+25M extensions required for long span (river crossing, etc.), 400KV standard Inhouse designed WZ-4 Lattice towers suitable for WZ-3 coastal region have been adopted to maintain required navigable clearances</w:t>
            </w:r>
          </w:p>
        </w:tc>
        <w:tc>
          <w:tcPr>
            <w:tcW w:w="5920" w:type="dxa"/>
            <w:vAlign w:val="center"/>
          </w:tcPr>
          <w:p w14:paraId="3A2DB251" w14:textId="56FAE228" w:rsidR="003600E1" w:rsidRPr="00DE553A" w:rsidRDefault="000D4507" w:rsidP="008E1352">
            <w:pPr>
              <w:jc w:val="both"/>
              <w:rPr>
                <w:rFonts w:ascii="Book Antiqua" w:hAnsi="Book Antiqua" w:cs="Calibri"/>
                <w:sz w:val="20"/>
              </w:rPr>
            </w:pPr>
            <w:r w:rsidRPr="000D4507">
              <w:rPr>
                <w:rFonts w:ascii="Book Antiqua" w:hAnsi="Book Antiqua" w:cs="Calibri"/>
                <w:sz w:val="20"/>
              </w:rPr>
              <w:t>We understand that the design of lattice structures is under the Employer’s scope and, accordingly, type testing of Lattice Structure is not envisaged under the Contractor’s scope. We request you to kindly confirm whether our understanding is correct.</w:t>
            </w:r>
          </w:p>
        </w:tc>
        <w:tc>
          <w:tcPr>
            <w:tcW w:w="4096" w:type="dxa"/>
            <w:vAlign w:val="center"/>
          </w:tcPr>
          <w:p w14:paraId="061EAE03" w14:textId="6F390F99" w:rsidR="003600E1" w:rsidRPr="00C74E80" w:rsidRDefault="00687873" w:rsidP="008E1352">
            <w:pPr>
              <w:jc w:val="both"/>
              <w:rPr>
                <w:rFonts w:ascii="Book Antiqua" w:hAnsi="Book Antiqua" w:cs="Calibri"/>
                <w:sz w:val="20"/>
              </w:rPr>
            </w:pPr>
            <w:r w:rsidRPr="00687873">
              <w:rPr>
                <w:rFonts w:ascii="Book Antiqua" w:hAnsi="Book Antiqua" w:cs="Calibri"/>
                <w:sz w:val="20"/>
              </w:rPr>
              <w:t xml:space="preserve">Bidders may refer to </w:t>
            </w:r>
            <w:r>
              <w:rPr>
                <w:rFonts w:ascii="Book Antiqua" w:hAnsi="Book Antiqua" w:cs="Calibri"/>
                <w:sz w:val="20"/>
              </w:rPr>
              <w:t>A</w:t>
            </w:r>
            <w:r w:rsidRPr="00687873">
              <w:rPr>
                <w:rFonts w:ascii="Book Antiqua" w:hAnsi="Book Antiqua" w:cs="Calibri"/>
                <w:sz w:val="20"/>
              </w:rPr>
              <w:t>mendment</w:t>
            </w:r>
            <w:r>
              <w:rPr>
                <w:rFonts w:ascii="Book Antiqua" w:hAnsi="Book Antiqua" w:cs="Calibri"/>
                <w:sz w:val="20"/>
              </w:rPr>
              <w:t xml:space="preserve"> No. 1</w:t>
            </w:r>
          </w:p>
        </w:tc>
      </w:tr>
      <w:tr w:rsidR="003600E1" w14:paraId="3DAC33D4" w14:textId="77777777" w:rsidTr="005C3D93">
        <w:tc>
          <w:tcPr>
            <w:tcW w:w="577" w:type="dxa"/>
            <w:vAlign w:val="center"/>
          </w:tcPr>
          <w:p w14:paraId="769539E5" w14:textId="77777777" w:rsidR="003600E1" w:rsidRPr="00F44F86" w:rsidRDefault="003600E1" w:rsidP="00142992">
            <w:pPr>
              <w:pStyle w:val="ListParagraph"/>
              <w:numPr>
                <w:ilvl w:val="0"/>
                <w:numId w:val="1"/>
              </w:numPr>
              <w:ind w:left="175" w:right="175" w:hanging="175"/>
              <w:rPr>
                <w:rFonts w:ascii="Book Antiqua" w:hAnsi="Book Antiqua" w:cs="Calibri"/>
                <w:szCs w:val="22"/>
              </w:rPr>
            </w:pPr>
          </w:p>
        </w:tc>
        <w:tc>
          <w:tcPr>
            <w:tcW w:w="4150" w:type="dxa"/>
            <w:vAlign w:val="center"/>
          </w:tcPr>
          <w:p w14:paraId="67455ABB" w14:textId="77777777" w:rsidR="00A05D2D" w:rsidRDefault="00A61B8D" w:rsidP="00A05D2D">
            <w:pPr>
              <w:jc w:val="both"/>
              <w:rPr>
                <w:rFonts w:ascii="Book Antiqua" w:hAnsi="Book Antiqua" w:cs="Calibri"/>
                <w:sz w:val="20"/>
              </w:rPr>
            </w:pPr>
            <w:r w:rsidRPr="00A61B8D">
              <w:rPr>
                <w:rFonts w:ascii="Book Antiqua" w:hAnsi="Book Antiqua" w:cs="Calibri"/>
                <w:sz w:val="20"/>
              </w:rPr>
              <w:t>Part 2/13/</w:t>
            </w:r>
            <w:proofErr w:type="spellStart"/>
            <w:r w:rsidRPr="00A61B8D">
              <w:rPr>
                <w:rFonts w:ascii="Book Antiqua" w:hAnsi="Book Antiqua" w:cs="Calibri"/>
                <w:sz w:val="20"/>
              </w:rPr>
              <w:t>TSNote</w:t>
            </w:r>
            <w:proofErr w:type="spellEnd"/>
            <w:r w:rsidRPr="00A61B8D">
              <w:rPr>
                <w:rFonts w:ascii="Book Antiqua" w:hAnsi="Book Antiqua" w:cs="Calibri"/>
                <w:sz w:val="20"/>
              </w:rPr>
              <w:t xml:space="preserve"> TL/3.0(a)/2</w:t>
            </w:r>
            <w:r>
              <w:rPr>
                <w:rFonts w:ascii="Book Antiqua" w:hAnsi="Book Antiqua" w:cs="Calibri"/>
                <w:sz w:val="20"/>
              </w:rPr>
              <w:t xml:space="preserve">: </w:t>
            </w:r>
          </w:p>
          <w:p w14:paraId="15B1B824" w14:textId="26C4CEFC" w:rsidR="00A05D2D" w:rsidRPr="00A05D2D" w:rsidRDefault="00A05D2D" w:rsidP="00A05D2D">
            <w:pPr>
              <w:jc w:val="both"/>
              <w:rPr>
                <w:rFonts w:ascii="Book Antiqua" w:hAnsi="Book Antiqua" w:cs="Calibri"/>
                <w:sz w:val="20"/>
              </w:rPr>
            </w:pPr>
            <w:r w:rsidRPr="00A05D2D">
              <w:rPr>
                <w:rFonts w:ascii="Book Antiqua" w:hAnsi="Book Antiqua" w:cs="Calibri"/>
                <w:sz w:val="20"/>
              </w:rPr>
              <w:t>(iv) All 66KV monopole structures design and testing shall be kept in the scope of contractor. However, monopole foundations shall be designed in house.</w:t>
            </w:r>
          </w:p>
          <w:p w14:paraId="4A69924A" w14:textId="5DF1F0C7" w:rsidR="003600E1" w:rsidRPr="00E91BEB" w:rsidRDefault="00A05D2D" w:rsidP="00A05D2D">
            <w:pPr>
              <w:jc w:val="both"/>
              <w:rPr>
                <w:rFonts w:ascii="Book Antiqua" w:hAnsi="Book Antiqua" w:cs="Calibri"/>
                <w:sz w:val="20"/>
                <w:highlight w:val="yellow"/>
              </w:rPr>
            </w:pPr>
            <w:r w:rsidRPr="00A05D2D">
              <w:rPr>
                <w:rFonts w:ascii="Book Antiqua" w:hAnsi="Book Antiqua" w:cs="Calibri"/>
                <w:sz w:val="20"/>
              </w:rPr>
              <w:t>(v) Pile foundation shall be designed in house</w:t>
            </w:r>
          </w:p>
        </w:tc>
        <w:tc>
          <w:tcPr>
            <w:tcW w:w="5920" w:type="dxa"/>
            <w:vAlign w:val="center"/>
          </w:tcPr>
          <w:p w14:paraId="4F1DF780" w14:textId="181C76C0" w:rsidR="003600E1" w:rsidRPr="00DE553A" w:rsidRDefault="004735CE" w:rsidP="00142992">
            <w:pPr>
              <w:jc w:val="both"/>
              <w:rPr>
                <w:rFonts w:ascii="Book Antiqua" w:hAnsi="Book Antiqua" w:cs="Calibri"/>
                <w:sz w:val="20"/>
              </w:rPr>
            </w:pPr>
            <w:r w:rsidRPr="004735CE">
              <w:rPr>
                <w:rFonts w:ascii="Book Antiqua" w:hAnsi="Book Antiqua" w:cs="Calibri"/>
                <w:sz w:val="20"/>
              </w:rPr>
              <w:t>We understand that the design of monopoles is under the scope of the Contractor, whereas the design of pile foundations is under the scope of the Employer. We request you to kindly confirm whether this understanding is correct.</w:t>
            </w:r>
          </w:p>
        </w:tc>
        <w:tc>
          <w:tcPr>
            <w:tcW w:w="4096" w:type="dxa"/>
            <w:vAlign w:val="center"/>
          </w:tcPr>
          <w:p w14:paraId="4BACC271" w14:textId="2EDBAACD" w:rsidR="003600E1" w:rsidRPr="00C74E80" w:rsidRDefault="004504A5" w:rsidP="00142992">
            <w:pPr>
              <w:jc w:val="both"/>
              <w:rPr>
                <w:rFonts w:ascii="Book Antiqua" w:hAnsi="Book Antiqua" w:cs="Calibri"/>
                <w:sz w:val="20"/>
              </w:rPr>
            </w:pPr>
            <w:r w:rsidRPr="00687873">
              <w:rPr>
                <w:rFonts w:ascii="Book Antiqua" w:hAnsi="Book Antiqua" w:cs="Calibri"/>
                <w:sz w:val="20"/>
              </w:rPr>
              <w:t xml:space="preserve">Bidders may refer to </w:t>
            </w:r>
            <w:r>
              <w:rPr>
                <w:rFonts w:ascii="Book Antiqua" w:hAnsi="Book Antiqua" w:cs="Calibri"/>
                <w:sz w:val="20"/>
              </w:rPr>
              <w:t>A</w:t>
            </w:r>
            <w:r w:rsidRPr="00687873">
              <w:rPr>
                <w:rFonts w:ascii="Book Antiqua" w:hAnsi="Book Antiqua" w:cs="Calibri"/>
                <w:sz w:val="20"/>
              </w:rPr>
              <w:t>mendment</w:t>
            </w:r>
            <w:r>
              <w:rPr>
                <w:rFonts w:ascii="Book Antiqua" w:hAnsi="Book Antiqua" w:cs="Calibri"/>
                <w:sz w:val="20"/>
              </w:rPr>
              <w:t xml:space="preserve"> No. 1</w:t>
            </w:r>
          </w:p>
        </w:tc>
      </w:tr>
      <w:tr w:rsidR="003600E1" w14:paraId="70B45EB1" w14:textId="77777777" w:rsidTr="005C3D93">
        <w:trPr>
          <w:trHeight w:val="8286"/>
        </w:trPr>
        <w:tc>
          <w:tcPr>
            <w:tcW w:w="577" w:type="dxa"/>
            <w:vAlign w:val="center"/>
          </w:tcPr>
          <w:p w14:paraId="14F043E2" w14:textId="77777777" w:rsidR="003600E1" w:rsidRPr="00F44F86" w:rsidRDefault="003600E1" w:rsidP="00142992">
            <w:pPr>
              <w:pStyle w:val="ListParagraph"/>
              <w:numPr>
                <w:ilvl w:val="0"/>
                <w:numId w:val="1"/>
              </w:numPr>
              <w:ind w:left="175" w:right="175" w:hanging="175"/>
              <w:rPr>
                <w:rFonts w:ascii="Book Antiqua" w:hAnsi="Book Antiqua" w:cs="Calibri"/>
                <w:szCs w:val="22"/>
              </w:rPr>
            </w:pPr>
          </w:p>
        </w:tc>
        <w:tc>
          <w:tcPr>
            <w:tcW w:w="4150" w:type="dxa"/>
            <w:vAlign w:val="center"/>
          </w:tcPr>
          <w:p w14:paraId="1EB18D55" w14:textId="77777777" w:rsidR="005C0A18" w:rsidRPr="005C0A18" w:rsidRDefault="005C0A18" w:rsidP="005C0A18">
            <w:pPr>
              <w:jc w:val="both"/>
              <w:rPr>
                <w:rFonts w:ascii="Book Antiqua" w:hAnsi="Book Antiqua" w:cs="Calibri"/>
                <w:sz w:val="20"/>
              </w:rPr>
            </w:pPr>
            <w:r w:rsidRPr="005C0A18">
              <w:rPr>
                <w:rFonts w:ascii="Book Antiqua" w:hAnsi="Book Antiqua" w:cs="Calibri"/>
                <w:sz w:val="20"/>
              </w:rPr>
              <w:t>SECTION-I A (VOLUME-II), Rev 15 (Sept’2025)</w:t>
            </w:r>
          </w:p>
          <w:p w14:paraId="3FEBAA90" w14:textId="77777777" w:rsidR="003600E1" w:rsidRDefault="005C0A18" w:rsidP="00C21967">
            <w:pPr>
              <w:jc w:val="both"/>
              <w:rPr>
                <w:rFonts w:ascii="Book Antiqua" w:hAnsi="Book Antiqua" w:cs="Calibri"/>
                <w:sz w:val="20"/>
              </w:rPr>
            </w:pPr>
            <w:r w:rsidRPr="005C0A18">
              <w:rPr>
                <w:rFonts w:ascii="Book Antiqua" w:hAnsi="Book Antiqua" w:cs="Calibri"/>
                <w:sz w:val="20"/>
              </w:rPr>
              <w:t>SECTION-VIIA (VOLUME-II), Rev 3 (Dec’2023)</w:t>
            </w:r>
            <w:r w:rsidR="00BC2F3B">
              <w:rPr>
                <w:rFonts w:ascii="Book Antiqua" w:hAnsi="Book Antiqua" w:cs="Calibri"/>
                <w:sz w:val="20"/>
              </w:rPr>
              <w:t xml:space="preserve"> </w:t>
            </w:r>
            <w:r w:rsidRPr="005C0A18">
              <w:rPr>
                <w:rFonts w:ascii="Book Antiqua" w:hAnsi="Book Antiqua" w:cs="Calibri"/>
                <w:sz w:val="20"/>
              </w:rPr>
              <w:t xml:space="preserve">Cl. </w:t>
            </w:r>
            <w:proofErr w:type="gramStart"/>
            <w:r w:rsidRPr="005C0A18">
              <w:rPr>
                <w:rFonts w:ascii="Book Antiqua" w:hAnsi="Book Antiqua" w:cs="Calibri"/>
                <w:sz w:val="20"/>
              </w:rPr>
              <w:t>3.4,Pg</w:t>
            </w:r>
            <w:proofErr w:type="gramEnd"/>
            <w:r w:rsidRPr="005C0A18">
              <w:rPr>
                <w:rFonts w:ascii="Book Antiqua" w:hAnsi="Book Antiqua" w:cs="Calibri"/>
                <w:sz w:val="20"/>
              </w:rPr>
              <w:t xml:space="preserve"> 9 of 31</w:t>
            </w:r>
            <w:r w:rsidR="00C21967">
              <w:rPr>
                <w:rFonts w:ascii="Book Antiqua" w:hAnsi="Book Antiqua" w:cs="Calibri"/>
                <w:sz w:val="20"/>
              </w:rPr>
              <w:t xml:space="preserve">, </w:t>
            </w:r>
            <w:r w:rsidRPr="005C0A18">
              <w:rPr>
                <w:rFonts w:ascii="Book Antiqua" w:hAnsi="Book Antiqua" w:cs="Calibri"/>
                <w:sz w:val="20"/>
              </w:rPr>
              <w:t>Pg. 27 of 33</w:t>
            </w:r>
            <w:r w:rsidR="00D34217">
              <w:rPr>
                <w:rFonts w:ascii="Book Antiqua" w:hAnsi="Book Antiqua" w:cs="Calibri"/>
                <w:sz w:val="20"/>
              </w:rPr>
              <w:t>:</w:t>
            </w:r>
          </w:p>
          <w:p w14:paraId="13DDCC14" w14:textId="77777777" w:rsidR="00D34217" w:rsidRDefault="00D34217" w:rsidP="00C21967">
            <w:pPr>
              <w:jc w:val="both"/>
              <w:rPr>
                <w:rFonts w:ascii="Book Antiqua" w:hAnsi="Book Antiqua" w:cs="Calibri"/>
                <w:sz w:val="20"/>
              </w:rPr>
            </w:pPr>
          </w:p>
          <w:p w14:paraId="27D5917E" w14:textId="77777777" w:rsidR="00D34217" w:rsidRPr="00D34217" w:rsidRDefault="00D34217" w:rsidP="00D34217">
            <w:pPr>
              <w:jc w:val="both"/>
              <w:rPr>
                <w:rFonts w:ascii="Book Antiqua" w:hAnsi="Book Antiqua" w:cs="Calibri"/>
                <w:sz w:val="20"/>
              </w:rPr>
            </w:pPr>
            <w:r w:rsidRPr="00D34217">
              <w:rPr>
                <w:rFonts w:ascii="Book Antiqua" w:hAnsi="Book Antiqua" w:cs="Calibri"/>
                <w:sz w:val="20"/>
              </w:rPr>
              <w:t xml:space="preserve">Special Requirements  </w:t>
            </w:r>
          </w:p>
          <w:p w14:paraId="473B5A27" w14:textId="77777777" w:rsidR="00D34217" w:rsidRPr="00D34217" w:rsidRDefault="00D34217" w:rsidP="00D34217">
            <w:pPr>
              <w:jc w:val="both"/>
              <w:rPr>
                <w:rFonts w:ascii="Book Antiqua" w:hAnsi="Book Antiqua" w:cs="Calibri"/>
                <w:sz w:val="20"/>
              </w:rPr>
            </w:pPr>
            <w:r w:rsidRPr="00D34217">
              <w:rPr>
                <w:rFonts w:ascii="Book Antiqua" w:hAnsi="Book Antiqua" w:cs="Calibri"/>
                <w:sz w:val="20"/>
              </w:rPr>
              <w:t xml:space="preserve">As Transmission line covered under the subject packages passes through Coastal/Marine area, following requirements shall replace/supplement the </w:t>
            </w:r>
          </w:p>
          <w:p w14:paraId="338BB1E1" w14:textId="77777777" w:rsidR="00D34217" w:rsidRDefault="00D34217" w:rsidP="00D34217">
            <w:pPr>
              <w:jc w:val="both"/>
              <w:rPr>
                <w:rFonts w:ascii="Book Antiqua" w:hAnsi="Book Antiqua" w:cs="Calibri"/>
                <w:sz w:val="20"/>
              </w:rPr>
            </w:pPr>
            <w:r w:rsidRPr="00D34217">
              <w:rPr>
                <w:rFonts w:ascii="Book Antiqua" w:hAnsi="Book Antiqua" w:cs="Calibri"/>
                <w:sz w:val="20"/>
              </w:rPr>
              <w:t xml:space="preserve">requirements in different sections of the Technical </w:t>
            </w:r>
            <w:proofErr w:type="gramStart"/>
            <w:r w:rsidRPr="00D34217">
              <w:rPr>
                <w:rFonts w:ascii="Book Antiqua" w:hAnsi="Book Antiqua" w:cs="Calibri"/>
                <w:sz w:val="20"/>
              </w:rPr>
              <w:t>Specification..</w:t>
            </w:r>
            <w:proofErr w:type="gramEnd"/>
            <w:r w:rsidRPr="00D34217">
              <w:rPr>
                <w:rFonts w:ascii="Book Antiqua" w:hAnsi="Book Antiqua" w:cs="Calibri"/>
                <w:sz w:val="20"/>
              </w:rPr>
              <w:t>**</w:t>
            </w:r>
          </w:p>
          <w:p w14:paraId="350DF7A9" w14:textId="1D38EAA0" w:rsidR="003D5965" w:rsidRPr="00C74E80" w:rsidRDefault="00192A0C" w:rsidP="00D34217">
            <w:pPr>
              <w:jc w:val="both"/>
              <w:rPr>
                <w:rFonts w:ascii="Book Antiqua" w:hAnsi="Book Antiqua" w:cs="Calibri"/>
                <w:sz w:val="20"/>
              </w:rPr>
            </w:pPr>
            <w:r w:rsidRPr="006434DC">
              <w:rPr>
                <w:rFonts w:ascii="Calibri" w:eastAsia="Times New Roman" w:hAnsi="Calibri" w:cs="Calibri"/>
                <w:noProof/>
                <w:color w:val="000000"/>
                <w:kern w:val="0"/>
                <w:szCs w:val="22"/>
                <w:lang w:eastAsia="en-IN"/>
                <w14:ligatures w14:val="none"/>
              </w:rPr>
              <w:drawing>
                <wp:anchor distT="0" distB="0" distL="114300" distR="114300" simplePos="0" relativeHeight="251663360" behindDoc="0" locked="0" layoutInCell="1" allowOverlap="1" wp14:anchorId="4AE7C59A" wp14:editId="20497259">
                  <wp:simplePos x="0" y="0"/>
                  <wp:positionH relativeFrom="column">
                    <wp:posOffset>320040</wp:posOffset>
                  </wp:positionH>
                  <wp:positionV relativeFrom="paragraph">
                    <wp:posOffset>1054100</wp:posOffset>
                  </wp:positionV>
                  <wp:extent cx="1790065" cy="2372360"/>
                  <wp:effectExtent l="0" t="5397" r="0" b="0"/>
                  <wp:wrapNone/>
                  <wp:docPr id="6" name="Picture 2">
                    <a:extLst xmlns:a="http://schemas.openxmlformats.org/drawingml/2006/main">
                      <a:ext uri="{FF2B5EF4-FFF2-40B4-BE49-F238E27FC236}">
                        <a16:creationId xmlns:a16="http://schemas.microsoft.com/office/drawing/2014/main" id="{7DD13D32-8371-482A-B648-946EF67284B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DD13D32-8371-482A-B648-946EF67284B0}"/>
                              </a:ext>
                            </a:extLst>
                          </pic:cNvPr>
                          <pic:cNvPicPr>
                            <a:picLocks noChangeAspect="1"/>
                          </pic:cNvPicPr>
                        </pic:nvPicPr>
                        <pic:blipFill>
                          <a:blip r:embed="rId8"/>
                          <a:stretch>
                            <a:fillRect/>
                          </a:stretch>
                        </pic:blipFill>
                        <pic:spPr>
                          <a:xfrm rot="16200000">
                            <a:off x="0" y="0"/>
                            <a:ext cx="1790065" cy="2372360"/>
                          </a:xfrm>
                          <a:prstGeom prst="rect">
                            <a:avLst/>
                          </a:prstGeom>
                        </pic:spPr>
                      </pic:pic>
                    </a:graphicData>
                  </a:graphic>
                  <wp14:sizeRelH relativeFrom="page">
                    <wp14:pctWidth>0</wp14:pctWidth>
                  </wp14:sizeRelH>
                  <wp14:sizeRelV relativeFrom="page">
                    <wp14:pctHeight>0</wp14:pctHeight>
                  </wp14:sizeRelV>
                </wp:anchor>
              </w:drawing>
            </w:r>
            <w:r w:rsidRPr="006434DC">
              <w:rPr>
                <w:rFonts w:ascii="Calibri" w:eastAsia="Times New Roman" w:hAnsi="Calibri" w:cs="Calibri"/>
                <w:noProof/>
                <w:color w:val="000000"/>
                <w:kern w:val="0"/>
                <w:szCs w:val="22"/>
                <w:lang w:eastAsia="en-IN"/>
                <w14:ligatures w14:val="none"/>
              </w:rPr>
              <w:drawing>
                <wp:anchor distT="0" distB="0" distL="114300" distR="114300" simplePos="0" relativeHeight="251661312" behindDoc="0" locked="0" layoutInCell="1" allowOverlap="1" wp14:anchorId="0C50B810" wp14:editId="6B2B2809">
                  <wp:simplePos x="0" y="0"/>
                  <wp:positionH relativeFrom="column">
                    <wp:posOffset>1270</wp:posOffset>
                  </wp:positionH>
                  <wp:positionV relativeFrom="paragraph">
                    <wp:posOffset>3810</wp:posOffset>
                  </wp:positionV>
                  <wp:extent cx="2286000" cy="1152525"/>
                  <wp:effectExtent l="0" t="0" r="0" b="9525"/>
                  <wp:wrapNone/>
                  <wp:docPr id="5" name="Picture 3">
                    <a:extLst xmlns:a="http://schemas.openxmlformats.org/drawingml/2006/main">
                      <a:ext uri="{FF2B5EF4-FFF2-40B4-BE49-F238E27FC236}">
                        <a16:creationId xmlns:a16="http://schemas.microsoft.com/office/drawing/2014/main" id="{4207886D-D1C7-40D9-87C5-42A8E2B97CCD}"/>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207886D-D1C7-40D9-87C5-42A8E2B97CCD}"/>
                              </a:ext>
                            </a:extLst>
                          </pic:cNvPr>
                          <pic:cNvPicPr>
                            <a:picLocks noChangeAspect="1"/>
                          </pic:cNvPicPr>
                        </pic:nvPicPr>
                        <pic:blipFill>
                          <a:blip r:embed="rId9"/>
                          <a:stretch>
                            <a:fillRect/>
                          </a:stretch>
                        </pic:blipFill>
                        <pic:spPr>
                          <a:xfrm>
                            <a:off x="0" y="0"/>
                            <a:ext cx="2286000" cy="1152525"/>
                          </a:xfrm>
                          <a:prstGeom prst="rect">
                            <a:avLst/>
                          </a:prstGeom>
                        </pic:spPr>
                      </pic:pic>
                    </a:graphicData>
                  </a:graphic>
                  <wp14:sizeRelH relativeFrom="page">
                    <wp14:pctWidth>0</wp14:pctWidth>
                  </wp14:sizeRelH>
                  <wp14:sizeRelV relativeFrom="page">
                    <wp14:pctHeight>0</wp14:pctHeight>
                  </wp14:sizeRelV>
                </wp:anchor>
              </w:drawing>
            </w:r>
          </w:p>
        </w:tc>
        <w:tc>
          <w:tcPr>
            <w:tcW w:w="5920" w:type="dxa"/>
            <w:vAlign w:val="center"/>
          </w:tcPr>
          <w:p w14:paraId="1366FE22" w14:textId="77777777" w:rsidR="007B3FDD" w:rsidRPr="007B3FDD" w:rsidRDefault="007B3FDD" w:rsidP="007B3FDD">
            <w:pPr>
              <w:jc w:val="both"/>
              <w:rPr>
                <w:rFonts w:ascii="Book Antiqua" w:hAnsi="Book Antiqua" w:cs="Calibri"/>
                <w:sz w:val="20"/>
              </w:rPr>
            </w:pPr>
            <w:r w:rsidRPr="007B3FDD">
              <w:rPr>
                <w:rFonts w:ascii="Book Antiqua" w:hAnsi="Book Antiqua" w:cs="Calibri"/>
                <w:sz w:val="20"/>
              </w:rPr>
              <w:t>1. Confirmation of Conductor Properties and Sag–Tension Criteria</w:t>
            </w:r>
          </w:p>
          <w:p w14:paraId="71300C48" w14:textId="77777777" w:rsidR="007B3FDD" w:rsidRPr="007B3FDD" w:rsidRDefault="007B3FDD" w:rsidP="007B3FDD">
            <w:pPr>
              <w:jc w:val="both"/>
              <w:rPr>
                <w:rFonts w:ascii="Book Antiqua" w:hAnsi="Book Antiqua" w:cs="Calibri"/>
                <w:sz w:val="20"/>
              </w:rPr>
            </w:pPr>
          </w:p>
          <w:p w14:paraId="5B540D42" w14:textId="77777777" w:rsidR="007B3FDD" w:rsidRPr="007B3FDD" w:rsidRDefault="007B3FDD" w:rsidP="007B3FDD">
            <w:pPr>
              <w:jc w:val="both"/>
              <w:rPr>
                <w:rFonts w:ascii="Book Antiqua" w:hAnsi="Book Antiqua" w:cs="Calibri"/>
                <w:sz w:val="20"/>
              </w:rPr>
            </w:pPr>
            <w:r w:rsidRPr="007B3FDD">
              <w:rPr>
                <w:rFonts w:ascii="Book Antiqua" w:hAnsi="Book Antiqua" w:cs="Calibri"/>
                <w:sz w:val="20"/>
              </w:rPr>
              <w:t xml:space="preserve">Kindly confirm the technical properties of the Single AAAC Covered PANTHER conductor in accordance with Section VIIA (Volume–II), Revision 3 of the specification. </w:t>
            </w:r>
          </w:p>
          <w:p w14:paraId="428D746B" w14:textId="77777777" w:rsidR="007B3FDD" w:rsidRPr="007B3FDD" w:rsidRDefault="007B3FDD" w:rsidP="007B3FDD">
            <w:pPr>
              <w:jc w:val="both"/>
              <w:rPr>
                <w:rFonts w:ascii="Book Antiqua" w:hAnsi="Book Antiqua" w:cs="Calibri"/>
                <w:sz w:val="20"/>
              </w:rPr>
            </w:pPr>
            <w:r w:rsidRPr="007B3FDD">
              <w:rPr>
                <w:rFonts w:ascii="Book Antiqua" w:hAnsi="Book Antiqua" w:cs="Calibri"/>
                <w:sz w:val="20"/>
              </w:rPr>
              <w:t>Further, please clarify whether the sag–tension calculations for the subject conductor shall be carried out considering parameters applicable to:</w:t>
            </w:r>
          </w:p>
          <w:p w14:paraId="47B805BC" w14:textId="77777777" w:rsidR="007B3FDD" w:rsidRPr="007B3FDD" w:rsidRDefault="007B3FDD" w:rsidP="007B3FDD">
            <w:pPr>
              <w:jc w:val="both"/>
              <w:rPr>
                <w:rFonts w:ascii="Book Antiqua" w:hAnsi="Book Antiqua" w:cs="Calibri"/>
                <w:sz w:val="20"/>
              </w:rPr>
            </w:pPr>
          </w:p>
          <w:p w14:paraId="79C0E778" w14:textId="77777777" w:rsidR="007B3FDD" w:rsidRPr="007B3FDD" w:rsidRDefault="007B3FDD" w:rsidP="007B3FDD">
            <w:pPr>
              <w:jc w:val="both"/>
              <w:rPr>
                <w:rFonts w:ascii="Book Antiqua" w:hAnsi="Book Antiqua" w:cs="Calibri"/>
                <w:sz w:val="20"/>
              </w:rPr>
            </w:pPr>
            <w:r w:rsidRPr="007B3FDD">
              <w:rPr>
                <w:rFonts w:ascii="Book Antiqua" w:hAnsi="Book Antiqua" w:cs="Calibri"/>
                <w:sz w:val="20"/>
              </w:rPr>
              <w:t>ACSR conductors, or HTLS conductors,</w:t>
            </w:r>
          </w:p>
          <w:p w14:paraId="787CCF31" w14:textId="77777777" w:rsidR="007B3FDD" w:rsidRPr="007B3FDD" w:rsidRDefault="007B3FDD" w:rsidP="007B3FDD">
            <w:pPr>
              <w:jc w:val="both"/>
              <w:rPr>
                <w:rFonts w:ascii="Book Antiqua" w:hAnsi="Book Antiqua" w:cs="Calibri"/>
                <w:sz w:val="20"/>
              </w:rPr>
            </w:pPr>
            <w:r w:rsidRPr="007B3FDD">
              <w:rPr>
                <w:rFonts w:ascii="Book Antiqua" w:hAnsi="Book Antiqua" w:cs="Calibri"/>
                <w:sz w:val="20"/>
              </w:rPr>
              <w:t>or whether a separate, manufacturer-specific sag–tension model is to be adopted for the AAAC Covered PANTHER conductor.</w:t>
            </w:r>
          </w:p>
          <w:p w14:paraId="67257A84" w14:textId="77777777" w:rsidR="007B3FDD" w:rsidRPr="007B3FDD" w:rsidRDefault="007B3FDD" w:rsidP="007B3FDD">
            <w:pPr>
              <w:jc w:val="both"/>
              <w:rPr>
                <w:rFonts w:ascii="Book Antiqua" w:hAnsi="Book Antiqua" w:cs="Calibri"/>
                <w:sz w:val="20"/>
              </w:rPr>
            </w:pPr>
          </w:p>
          <w:p w14:paraId="73E2E3BC" w14:textId="23DA1390" w:rsidR="003600E1" w:rsidRPr="005A511A" w:rsidRDefault="007B3FDD" w:rsidP="007B3FDD">
            <w:pPr>
              <w:jc w:val="both"/>
              <w:rPr>
                <w:rFonts w:ascii="Book Antiqua" w:hAnsi="Book Antiqua" w:cs="Calibri"/>
                <w:sz w:val="20"/>
              </w:rPr>
            </w:pPr>
            <w:r w:rsidRPr="007B3FDD">
              <w:rPr>
                <w:rFonts w:ascii="Book Antiqua" w:hAnsi="Book Antiqua" w:cs="Calibri"/>
                <w:sz w:val="20"/>
              </w:rPr>
              <w:t>Additionally, if available, kindly provide the sag–tension wire file / stringing chart data compatible with standard transmission line design software, to ensure uniformity and accuracy in detailed engineering.</w:t>
            </w:r>
          </w:p>
        </w:tc>
        <w:tc>
          <w:tcPr>
            <w:tcW w:w="4096" w:type="dxa"/>
            <w:vAlign w:val="center"/>
          </w:tcPr>
          <w:p w14:paraId="62479F3A" w14:textId="7176C096" w:rsidR="003600E1" w:rsidRPr="005A511A" w:rsidRDefault="00BC3B60" w:rsidP="00142992">
            <w:pPr>
              <w:jc w:val="both"/>
              <w:rPr>
                <w:rFonts w:ascii="Book Antiqua" w:hAnsi="Book Antiqua" w:cs="Calibri"/>
                <w:sz w:val="20"/>
              </w:rPr>
            </w:pPr>
            <w:r w:rsidRPr="00BC3B60">
              <w:rPr>
                <w:rFonts w:ascii="Book Antiqua" w:hAnsi="Book Antiqua" w:cs="Calibri"/>
                <w:sz w:val="20"/>
              </w:rPr>
              <w:t>For Technical Specification of the covered conductor, bidders may refer to SECTION-VIIC (VOLUME-II), Rev 0 (Sep’2025) of the Technical Specification. Bidder shall provide GTP of the covered conductor during detail engineering for Sag Tension Calculation.</w:t>
            </w:r>
          </w:p>
        </w:tc>
      </w:tr>
      <w:tr w:rsidR="003600E1" w14:paraId="6214D480" w14:textId="77777777" w:rsidTr="005C3D93">
        <w:tc>
          <w:tcPr>
            <w:tcW w:w="577" w:type="dxa"/>
            <w:vAlign w:val="center"/>
          </w:tcPr>
          <w:p w14:paraId="75528F09" w14:textId="77777777" w:rsidR="003600E1" w:rsidRPr="00F44F86" w:rsidRDefault="003600E1" w:rsidP="00142992">
            <w:pPr>
              <w:pStyle w:val="ListParagraph"/>
              <w:numPr>
                <w:ilvl w:val="0"/>
                <w:numId w:val="1"/>
              </w:numPr>
              <w:ind w:left="175" w:right="175" w:hanging="175"/>
              <w:rPr>
                <w:rFonts w:ascii="Book Antiqua" w:hAnsi="Book Antiqua" w:cs="Calibri"/>
                <w:szCs w:val="22"/>
              </w:rPr>
            </w:pPr>
          </w:p>
        </w:tc>
        <w:tc>
          <w:tcPr>
            <w:tcW w:w="4150" w:type="dxa"/>
            <w:vAlign w:val="center"/>
          </w:tcPr>
          <w:p w14:paraId="78BE2919" w14:textId="66FB329D" w:rsidR="003600E1" w:rsidRDefault="00C52823" w:rsidP="00C4519E">
            <w:pPr>
              <w:jc w:val="both"/>
              <w:rPr>
                <w:rFonts w:ascii="Book Antiqua" w:hAnsi="Book Antiqua" w:cs="Calibri"/>
                <w:sz w:val="20"/>
              </w:rPr>
            </w:pPr>
            <w:r w:rsidRPr="00C52823">
              <w:rPr>
                <w:rFonts w:ascii="Book Antiqua" w:hAnsi="Book Antiqua" w:cs="Calibri"/>
                <w:sz w:val="20"/>
              </w:rPr>
              <w:t>SECTION-I A (VOLUME-II), Rev 15 (Sept’2025)</w:t>
            </w:r>
            <w:r w:rsidR="00C4519E">
              <w:rPr>
                <w:rFonts w:ascii="Book Antiqua" w:hAnsi="Book Antiqua" w:cs="Calibri"/>
                <w:sz w:val="20"/>
              </w:rPr>
              <w:t xml:space="preserve"> </w:t>
            </w:r>
            <w:r w:rsidRPr="00C52823">
              <w:rPr>
                <w:rFonts w:ascii="Book Antiqua" w:hAnsi="Book Antiqua" w:cs="Calibri"/>
                <w:sz w:val="20"/>
              </w:rPr>
              <w:t>Cl. 3.4 (k</w:t>
            </w:r>
            <w:proofErr w:type="gramStart"/>
            <w:r w:rsidRPr="00C52823">
              <w:rPr>
                <w:rFonts w:ascii="Book Antiqua" w:hAnsi="Book Antiqua" w:cs="Calibri"/>
                <w:sz w:val="20"/>
              </w:rPr>
              <w:t>) ,Pg</w:t>
            </w:r>
            <w:proofErr w:type="gramEnd"/>
            <w:r w:rsidRPr="00C52823">
              <w:rPr>
                <w:rFonts w:ascii="Book Antiqua" w:hAnsi="Book Antiqua" w:cs="Calibri"/>
                <w:sz w:val="20"/>
              </w:rPr>
              <w:t xml:space="preserve"> 12 of 31</w:t>
            </w:r>
            <w:r>
              <w:rPr>
                <w:rFonts w:ascii="Book Antiqua" w:hAnsi="Book Antiqua" w:cs="Calibri"/>
                <w:sz w:val="20"/>
              </w:rPr>
              <w:t>:</w:t>
            </w:r>
          </w:p>
          <w:p w14:paraId="193A603D"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(k) Tower/Pole Loading Conditions:   </w:t>
            </w:r>
          </w:p>
          <w:p w14:paraId="6F8AC173"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Following loading condition shall be considered in design of poles in addition of </w:t>
            </w:r>
          </w:p>
          <w:p w14:paraId="392C48F2"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conditions mentioned in Sec- IV F  </w:t>
            </w:r>
          </w:p>
          <w:p w14:paraId="72F7429A"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1. All Poles (PA, PB, PC &amp; PD) shall be designed for covered conductor and its </w:t>
            </w:r>
          </w:p>
          <w:p w14:paraId="12C31438"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hardware/accessories and Disc Insulators considering creepage of 31 mm/kV </w:t>
            </w:r>
            <w:proofErr w:type="spellStart"/>
            <w:r w:rsidRPr="00493B1E">
              <w:rPr>
                <w:rFonts w:ascii="Book Antiqua" w:hAnsi="Book Antiqua" w:cs="Calibri"/>
                <w:sz w:val="20"/>
              </w:rPr>
              <w:t>i.e</w:t>
            </w:r>
            <w:proofErr w:type="spellEnd"/>
            <w:r w:rsidRPr="00493B1E">
              <w:rPr>
                <w:rFonts w:ascii="Book Antiqua" w:hAnsi="Book Antiqua" w:cs="Calibri"/>
                <w:sz w:val="20"/>
              </w:rPr>
              <w:t xml:space="preserve"> </w:t>
            </w:r>
          </w:p>
          <w:p w14:paraId="60EB6F00"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maximum of length/</w:t>
            </w:r>
            <w:proofErr w:type="spellStart"/>
            <w:r w:rsidRPr="00493B1E">
              <w:rPr>
                <w:rFonts w:ascii="Book Antiqua" w:hAnsi="Book Antiqua" w:cs="Calibri"/>
                <w:sz w:val="20"/>
              </w:rPr>
              <w:t>dia</w:t>
            </w:r>
            <w:proofErr w:type="spellEnd"/>
            <w:r w:rsidRPr="00493B1E">
              <w:rPr>
                <w:rFonts w:ascii="Book Antiqua" w:hAnsi="Book Antiqua" w:cs="Calibri"/>
                <w:sz w:val="20"/>
              </w:rPr>
              <w:t xml:space="preserve">/weight amongst CLR &amp; Disc insulators string shall be </w:t>
            </w:r>
          </w:p>
          <w:p w14:paraId="430E37DB"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considered. Further, PD type poles shall also be suitable for installation of surge arrestor. The loads due to surge arrestor and clearances required shall be </w:t>
            </w:r>
          </w:p>
          <w:p w14:paraId="138192C5"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considered in design of PD. </w:t>
            </w:r>
          </w:p>
          <w:p w14:paraId="6CE84A9C" w14:textId="77777777" w:rsidR="00493B1E" w:rsidRPr="00493B1E" w:rsidRDefault="00493B1E" w:rsidP="00493B1E">
            <w:pPr>
              <w:jc w:val="both"/>
              <w:rPr>
                <w:rFonts w:ascii="Book Antiqua" w:hAnsi="Book Antiqua" w:cs="Calibri"/>
                <w:sz w:val="20"/>
              </w:rPr>
            </w:pPr>
            <w:r w:rsidRPr="00493B1E">
              <w:rPr>
                <w:rFonts w:ascii="Book Antiqua" w:hAnsi="Book Antiqua" w:cs="Calibri"/>
                <w:sz w:val="20"/>
              </w:rPr>
              <w:t xml:space="preserve">2. All Poles shall be designed for maximum of </w:t>
            </w:r>
            <w:proofErr w:type="spellStart"/>
            <w:r w:rsidRPr="00493B1E">
              <w:rPr>
                <w:rFonts w:ascii="Book Antiqua" w:hAnsi="Book Antiqua" w:cs="Calibri"/>
                <w:sz w:val="20"/>
              </w:rPr>
              <w:t>dia</w:t>
            </w:r>
            <w:proofErr w:type="spellEnd"/>
            <w:r w:rsidRPr="00493B1E">
              <w:rPr>
                <w:rFonts w:ascii="Book Antiqua" w:hAnsi="Book Antiqua" w:cs="Calibri"/>
                <w:sz w:val="20"/>
              </w:rPr>
              <w:t xml:space="preserve">/weight amongst EW 7/3.15 &amp; </w:t>
            </w:r>
          </w:p>
          <w:p w14:paraId="53B1271D" w14:textId="2683219C" w:rsidR="00C52823" w:rsidRPr="00C74E80" w:rsidRDefault="00493B1E" w:rsidP="00493B1E">
            <w:pPr>
              <w:jc w:val="both"/>
              <w:rPr>
                <w:rFonts w:ascii="Book Antiqua" w:hAnsi="Book Antiqua" w:cs="Calibri"/>
                <w:sz w:val="20"/>
              </w:rPr>
            </w:pPr>
            <w:r w:rsidRPr="00493B1E">
              <w:rPr>
                <w:rFonts w:ascii="Book Antiqua" w:hAnsi="Book Antiqua" w:cs="Calibri"/>
                <w:sz w:val="20"/>
              </w:rPr>
              <w:t>OPGW. ..**</w:t>
            </w:r>
          </w:p>
        </w:tc>
        <w:tc>
          <w:tcPr>
            <w:tcW w:w="5920" w:type="dxa"/>
            <w:vAlign w:val="center"/>
          </w:tcPr>
          <w:p w14:paraId="1466C7BE" w14:textId="77777777" w:rsidR="00040DDE" w:rsidRPr="00040DDE" w:rsidRDefault="00040DDE" w:rsidP="00040DDE">
            <w:pPr>
              <w:jc w:val="both"/>
              <w:rPr>
                <w:rFonts w:ascii="Book Antiqua" w:hAnsi="Book Antiqua" w:cs="Calibri"/>
                <w:sz w:val="20"/>
              </w:rPr>
            </w:pPr>
            <w:r w:rsidRPr="00040DDE">
              <w:rPr>
                <w:rFonts w:ascii="Book Antiqua" w:hAnsi="Book Antiqua" w:cs="Calibri"/>
                <w:sz w:val="20"/>
              </w:rPr>
              <w:t>2. Design Basis of PD Type Poles with Surge Arrester Provision</w:t>
            </w:r>
          </w:p>
          <w:p w14:paraId="46096D89" w14:textId="77777777" w:rsidR="00040DDE" w:rsidRPr="00040DDE" w:rsidRDefault="00040DDE" w:rsidP="00040DDE">
            <w:pPr>
              <w:jc w:val="both"/>
              <w:rPr>
                <w:rFonts w:ascii="Book Antiqua" w:hAnsi="Book Antiqua" w:cs="Calibri"/>
                <w:sz w:val="20"/>
              </w:rPr>
            </w:pPr>
          </w:p>
          <w:p w14:paraId="72BBEC5F" w14:textId="77777777" w:rsidR="00040DDE" w:rsidRPr="00040DDE" w:rsidRDefault="00040DDE" w:rsidP="00040DDE">
            <w:pPr>
              <w:jc w:val="both"/>
              <w:rPr>
                <w:rFonts w:ascii="Book Antiqua" w:hAnsi="Book Antiqua" w:cs="Calibri"/>
                <w:sz w:val="20"/>
              </w:rPr>
            </w:pPr>
            <w:r w:rsidRPr="00040DDE">
              <w:rPr>
                <w:rFonts w:ascii="Book Antiqua" w:hAnsi="Book Antiqua" w:cs="Calibri"/>
                <w:sz w:val="20"/>
              </w:rPr>
              <w:t>As per the clause stating that “PD type poles shall also be suitable for installation of surge arrester. The loads due to surge arrester and clearances required shall be considered in design of PD,” kindly clarify the following:</w:t>
            </w:r>
          </w:p>
          <w:p w14:paraId="2E67DCEB" w14:textId="77777777" w:rsidR="00040DDE" w:rsidRPr="00040DDE" w:rsidRDefault="00040DDE" w:rsidP="00040DDE">
            <w:pPr>
              <w:jc w:val="both"/>
              <w:rPr>
                <w:rFonts w:ascii="Book Antiqua" w:hAnsi="Book Antiqua" w:cs="Calibri"/>
                <w:sz w:val="20"/>
              </w:rPr>
            </w:pPr>
            <w:r w:rsidRPr="00040DDE">
              <w:rPr>
                <w:rFonts w:ascii="Book Antiqua" w:hAnsi="Book Antiqua" w:cs="Calibri"/>
                <w:sz w:val="20"/>
              </w:rPr>
              <w:t>Whether the PD type pole is required to be designed inherently to meet the CT pole load and clearance requirements, or</w:t>
            </w:r>
          </w:p>
          <w:p w14:paraId="6192E621" w14:textId="77777777" w:rsidR="00040DDE" w:rsidRPr="00040DDE" w:rsidRDefault="00040DDE" w:rsidP="00040DDE">
            <w:pPr>
              <w:jc w:val="both"/>
              <w:rPr>
                <w:rFonts w:ascii="Book Antiqua" w:hAnsi="Book Antiqua" w:cs="Calibri"/>
                <w:sz w:val="20"/>
              </w:rPr>
            </w:pPr>
            <w:r w:rsidRPr="00040DDE">
              <w:rPr>
                <w:rFonts w:ascii="Book Antiqua" w:hAnsi="Book Antiqua" w:cs="Calibri"/>
                <w:sz w:val="20"/>
              </w:rPr>
              <w:t>Whether a separate design case / enhancement is to be considered and quoted to satisfy the CT pole requirements in addition to the standard PD pole design.</w:t>
            </w:r>
          </w:p>
          <w:p w14:paraId="5B937A1F" w14:textId="77777777" w:rsidR="00040DDE" w:rsidRPr="00040DDE" w:rsidRDefault="00040DDE" w:rsidP="00040DDE">
            <w:pPr>
              <w:jc w:val="both"/>
              <w:rPr>
                <w:rFonts w:ascii="Book Antiqua" w:hAnsi="Book Antiqua" w:cs="Calibri"/>
                <w:sz w:val="20"/>
              </w:rPr>
            </w:pPr>
          </w:p>
          <w:p w14:paraId="4E36635E" w14:textId="43C0D3F3" w:rsidR="003600E1" w:rsidRPr="00EA28E4" w:rsidRDefault="00040DDE" w:rsidP="00040DDE">
            <w:pPr>
              <w:jc w:val="both"/>
              <w:rPr>
                <w:rFonts w:ascii="Book Antiqua" w:hAnsi="Book Antiqua" w:cs="Calibri"/>
                <w:sz w:val="20"/>
              </w:rPr>
            </w:pPr>
            <w:r w:rsidRPr="00040DDE">
              <w:rPr>
                <w:rFonts w:ascii="Book Antiqua" w:hAnsi="Book Antiqua" w:cs="Calibri"/>
                <w:sz w:val="20"/>
              </w:rPr>
              <w:t>Furthermore, please provide the standard CT attachment details, including mounting arrangement to enable proper integration of surge arresters on PD type poles.</w:t>
            </w:r>
          </w:p>
        </w:tc>
        <w:tc>
          <w:tcPr>
            <w:tcW w:w="4096" w:type="dxa"/>
            <w:vAlign w:val="center"/>
          </w:tcPr>
          <w:p w14:paraId="178EF334" w14:textId="3DFE4328" w:rsidR="003600E1" w:rsidRPr="00967D76" w:rsidRDefault="004D1A45" w:rsidP="00142992">
            <w:pPr>
              <w:jc w:val="both"/>
              <w:rPr>
                <w:rFonts w:ascii="Book Antiqua" w:hAnsi="Book Antiqua" w:cs="Calibri"/>
                <w:sz w:val="20"/>
              </w:rPr>
            </w:pPr>
            <w:r w:rsidRPr="004D1A45">
              <w:rPr>
                <w:rFonts w:ascii="Book Antiqua" w:hAnsi="Book Antiqua" w:cs="Calibri"/>
                <w:sz w:val="20"/>
              </w:rPr>
              <w:t>Load of surge arrester shall be considered as permanent dead load and associated wind load. No separate design load case shall be required. The details of mounting shall be finalised during detail engineering.</w:t>
            </w:r>
          </w:p>
        </w:tc>
      </w:tr>
      <w:tr w:rsidR="003600E1" w14:paraId="145405F2" w14:textId="77777777" w:rsidTr="005C3D93">
        <w:trPr>
          <w:trHeight w:val="4278"/>
        </w:trPr>
        <w:tc>
          <w:tcPr>
            <w:tcW w:w="577" w:type="dxa"/>
            <w:vAlign w:val="center"/>
          </w:tcPr>
          <w:p w14:paraId="6872A533" w14:textId="77777777" w:rsidR="003600E1" w:rsidRPr="00F44F86" w:rsidRDefault="003600E1" w:rsidP="00142992">
            <w:pPr>
              <w:pStyle w:val="ListParagraph"/>
              <w:numPr>
                <w:ilvl w:val="0"/>
                <w:numId w:val="1"/>
              </w:numPr>
              <w:ind w:left="175" w:right="175" w:hanging="175"/>
              <w:rPr>
                <w:rFonts w:ascii="Book Antiqua" w:hAnsi="Book Antiqua" w:cs="Calibri"/>
                <w:szCs w:val="22"/>
              </w:rPr>
            </w:pPr>
          </w:p>
        </w:tc>
        <w:tc>
          <w:tcPr>
            <w:tcW w:w="4150" w:type="dxa"/>
            <w:vAlign w:val="center"/>
          </w:tcPr>
          <w:p w14:paraId="58DD6419" w14:textId="77777777" w:rsidR="003600E1" w:rsidRDefault="00C4519E" w:rsidP="00C4519E">
            <w:pPr>
              <w:jc w:val="both"/>
              <w:rPr>
                <w:rFonts w:ascii="Book Antiqua" w:hAnsi="Book Antiqua" w:cs="Calibri"/>
                <w:sz w:val="20"/>
              </w:rPr>
            </w:pPr>
            <w:r w:rsidRPr="00C4519E">
              <w:rPr>
                <w:rFonts w:ascii="Book Antiqua" w:hAnsi="Book Antiqua" w:cs="Calibri"/>
                <w:sz w:val="20"/>
              </w:rPr>
              <w:t>SECTION-I A (VOLUME-II), Rev 15 (Sept’2025)</w:t>
            </w:r>
            <w:r>
              <w:rPr>
                <w:rFonts w:ascii="Book Antiqua" w:hAnsi="Book Antiqua" w:cs="Calibri"/>
                <w:sz w:val="20"/>
              </w:rPr>
              <w:t xml:space="preserve"> </w:t>
            </w:r>
            <w:r w:rsidRPr="00C4519E">
              <w:rPr>
                <w:rFonts w:ascii="Book Antiqua" w:hAnsi="Book Antiqua" w:cs="Calibri"/>
                <w:sz w:val="20"/>
              </w:rPr>
              <w:t xml:space="preserve">Cl. </w:t>
            </w:r>
            <w:proofErr w:type="gramStart"/>
            <w:r w:rsidRPr="00C4519E">
              <w:rPr>
                <w:rFonts w:ascii="Book Antiqua" w:hAnsi="Book Antiqua" w:cs="Calibri"/>
                <w:sz w:val="20"/>
              </w:rPr>
              <w:t>3.4,Pg</w:t>
            </w:r>
            <w:proofErr w:type="gramEnd"/>
            <w:r w:rsidRPr="00C4519E">
              <w:rPr>
                <w:rFonts w:ascii="Book Antiqua" w:hAnsi="Book Antiqua" w:cs="Calibri"/>
                <w:sz w:val="20"/>
              </w:rPr>
              <w:t xml:space="preserve"> 9 of 31</w:t>
            </w:r>
            <w:r>
              <w:rPr>
                <w:rFonts w:ascii="Book Antiqua" w:hAnsi="Book Antiqua" w:cs="Calibri"/>
                <w:sz w:val="20"/>
              </w:rPr>
              <w:t>:</w:t>
            </w:r>
          </w:p>
          <w:p w14:paraId="63EEA82B" w14:textId="77777777" w:rsidR="001A61AC" w:rsidRPr="001A61AC" w:rsidRDefault="001A61AC" w:rsidP="001A61AC">
            <w:pPr>
              <w:jc w:val="both"/>
              <w:rPr>
                <w:rFonts w:ascii="Book Antiqua" w:hAnsi="Book Antiqua" w:cs="Calibri"/>
                <w:sz w:val="20"/>
              </w:rPr>
            </w:pPr>
            <w:r w:rsidRPr="001A61AC">
              <w:rPr>
                <w:rFonts w:ascii="Book Antiqua" w:hAnsi="Book Antiqua" w:cs="Calibri"/>
                <w:sz w:val="20"/>
              </w:rPr>
              <w:t xml:space="preserve">Special Requirements  </w:t>
            </w:r>
          </w:p>
          <w:p w14:paraId="55B659FA" w14:textId="77777777" w:rsidR="001A61AC" w:rsidRPr="001A61AC" w:rsidRDefault="001A61AC" w:rsidP="001A61AC">
            <w:pPr>
              <w:jc w:val="both"/>
              <w:rPr>
                <w:rFonts w:ascii="Book Antiqua" w:hAnsi="Book Antiqua" w:cs="Calibri"/>
                <w:sz w:val="20"/>
              </w:rPr>
            </w:pPr>
            <w:r w:rsidRPr="001A61AC">
              <w:rPr>
                <w:rFonts w:ascii="Book Antiqua" w:hAnsi="Book Antiqua" w:cs="Calibri"/>
                <w:sz w:val="20"/>
              </w:rPr>
              <w:t xml:space="preserve">As Transmission line covered under the subject packages passes through Coastal/Marine area, following requirements shall replace/supplement the </w:t>
            </w:r>
          </w:p>
          <w:p w14:paraId="33E50F21" w14:textId="4FA6BC49" w:rsidR="001A61AC" w:rsidRDefault="001A61AC" w:rsidP="001A61AC">
            <w:pPr>
              <w:jc w:val="both"/>
              <w:rPr>
                <w:rFonts w:ascii="Book Antiqua" w:hAnsi="Book Antiqua" w:cs="Calibri"/>
                <w:sz w:val="20"/>
              </w:rPr>
            </w:pPr>
            <w:r w:rsidRPr="001A61AC">
              <w:rPr>
                <w:rFonts w:ascii="Book Antiqua" w:hAnsi="Book Antiqua" w:cs="Calibri"/>
                <w:sz w:val="20"/>
              </w:rPr>
              <w:t>requirements in different sections of the Technical Specification: -</w:t>
            </w:r>
          </w:p>
          <w:p w14:paraId="625B82CE" w14:textId="6BB5F346" w:rsidR="0097024A" w:rsidRDefault="0097024A" w:rsidP="001A61AC">
            <w:pPr>
              <w:jc w:val="both"/>
              <w:rPr>
                <w:rFonts w:ascii="Book Antiqua" w:hAnsi="Book Antiqua" w:cs="Calibri"/>
                <w:sz w:val="20"/>
              </w:rPr>
            </w:pPr>
            <w:r w:rsidRPr="006434DC">
              <w:rPr>
                <w:rFonts w:ascii="Calibri" w:eastAsia="Times New Roman" w:hAnsi="Calibri" w:cs="Calibri"/>
                <w:noProof/>
                <w:color w:val="000000"/>
                <w:kern w:val="0"/>
                <w:szCs w:val="22"/>
                <w:lang w:eastAsia="en-IN"/>
                <w14:ligatures w14:val="none"/>
              </w:rPr>
              <w:drawing>
                <wp:anchor distT="0" distB="0" distL="114300" distR="114300" simplePos="0" relativeHeight="251665408" behindDoc="0" locked="0" layoutInCell="1" allowOverlap="1" wp14:anchorId="3E42A77C" wp14:editId="1E201EFC">
                  <wp:simplePos x="0" y="0"/>
                  <wp:positionH relativeFrom="column">
                    <wp:posOffset>-3810</wp:posOffset>
                  </wp:positionH>
                  <wp:positionV relativeFrom="paragraph">
                    <wp:posOffset>6985</wp:posOffset>
                  </wp:positionV>
                  <wp:extent cx="2320506" cy="1028700"/>
                  <wp:effectExtent l="0" t="0" r="3810" b="0"/>
                  <wp:wrapNone/>
                  <wp:docPr id="7" name="Picture 1">
                    <a:extLst xmlns:a="http://schemas.openxmlformats.org/drawingml/2006/main">
                      <a:ext uri="{FF2B5EF4-FFF2-40B4-BE49-F238E27FC236}">
                        <a16:creationId xmlns:a16="http://schemas.microsoft.com/office/drawing/2014/main" id="{00C3045B-6609-435D-A97D-8F49519F8FDF}"/>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C3045B-6609-435D-A97D-8F49519F8FDF}"/>
                              </a:ext>
                            </a:extLst>
                          </pic:cNvPr>
                          <pic:cNvPicPr>
                            <a:picLocks noChangeAspect="1"/>
                          </pic:cNvPicPr>
                        </pic:nvPicPr>
                        <pic:blipFill>
                          <a:blip r:embed="rId10"/>
                          <a:stretch>
                            <a:fillRect/>
                          </a:stretch>
                        </pic:blipFill>
                        <pic:spPr>
                          <a:xfrm>
                            <a:off x="0" y="0"/>
                            <a:ext cx="2320506" cy="1028700"/>
                          </a:xfrm>
                          <a:prstGeom prst="rect">
                            <a:avLst/>
                          </a:prstGeom>
                        </pic:spPr>
                      </pic:pic>
                    </a:graphicData>
                  </a:graphic>
                  <wp14:sizeRelH relativeFrom="page">
                    <wp14:pctWidth>0</wp14:pctWidth>
                  </wp14:sizeRelH>
                  <wp14:sizeRelV relativeFrom="page">
                    <wp14:pctHeight>0</wp14:pctHeight>
                  </wp14:sizeRelV>
                </wp:anchor>
              </w:drawing>
            </w:r>
          </w:p>
          <w:p w14:paraId="41C10505" w14:textId="4DD194EA" w:rsidR="00C4519E" w:rsidRPr="00C74E80" w:rsidRDefault="00C4519E" w:rsidP="00C4519E">
            <w:pPr>
              <w:jc w:val="both"/>
              <w:rPr>
                <w:rFonts w:ascii="Book Antiqua" w:hAnsi="Book Antiqua" w:cs="Calibri"/>
                <w:sz w:val="20"/>
              </w:rPr>
            </w:pPr>
          </w:p>
        </w:tc>
        <w:tc>
          <w:tcPr>
            <w:tcW w:w="5920" w:type="dxa"/>
            <w:vAlign w:val="center"/>
          </w:tcPr>
          <w:p w14:paraId="0375D86F" w14:textId="77777777" w:rsidR="00EF1D97" w:rsidRPr="00EF1D97" w:rsidRDefault="00EF1D97" w:rsidP="00EF1D97">
            <w:pPr>
              <w:jc w:val="both"/>
              <w:rPr>
                <w:rFonts w:ascii="Book Antiqua" w:hAnsi="Book Antiqua" w:cs="Calibri"/>
                <w:sz w:val="20"/>
              </w:rPr>
            </w:pPr>
            <w:r w:rsidRPr="00EF1D97">
              <w:rPr>
                <w:rFonts w:ascii="Book Antiqua" w:hAnsi="Book Antiqua" w:cs="Calibri"/>
                <w:sz w:val="20"/>
              </w:rPr>
              <w:t>3. Consideration of Cyclonic (K4) Importance Factor for Coastal/Marine Area</w:t>
            </w:r>
          </w:p>
          <w:p w14:paraId="5AFCC91E" w14:textId="77777777" w:rsidR="00EF1D97" w:rsidRPr="00EF1D97" w:rsidRDefault="00EF1D97" w:rsidP="00EF1D97">
            <w:pPr>
              <w:jc w:val="both"/>
              <w:rPr>
                <w:rFonts w:ascii="Book Antiqua" w:hAnsi="Book Antiqua" w:cs="Calibri"/>
                <w:sz w:val="20"/>
              </w:rPr>
            </w:pPr>
          </w:p>
          <w:p w14:paraId="2EBC5B3B" w14:textId="77777777" w:rsidR="00EF1D97" w:rsidRPr="00EF1D97" w:rsidRDefault="00EF1D97" w:rsidP="00EF1D97">
            <w:pPr>
              <w:jc w:val="both"/>
              <w:rPr>
                <w:rFonts w:ascii="Book Antiqua" w:hAnsi="Book Antiqua" w:cs="Calibri"/>
                <w:sz w:val="20"/>
              </w:rPr>
            </w:pPr>
            <w:r w:rsidRPr="00EF1D97">
              <w:rPr>
                <w:rFonts w:ascii="Book Antiqua" w:hAnsi="Book Antiqua" w:cs="Calibri"/>
                <w:sz w:val="20"/>
              </w:rPr>
              <w:t>Since the transmission line alignment passes through a Coastal/Marine area, and in accordance with CEA Guidelines Clause 4.7.1, it is specified that for pole structures located within 60 km from the sea coast, the importance factor for cyclonic region (K4 factor = 1.3) as per IS: 875 (Part 3) shall be considered while calculating the design wind speed.</w:t>
            </w:r>
          </w:p>
          <w:p w14:paraId="0B04A1A1" w14:textId="77777777" w:rsidR="00EF1D97" w:rsidRPr="00EF1D97" w:rsidRDefault="00EF1D97" w:rsidP="00EF1D97">
            <w:pPr>
              <w:jc w:val="both"/>
              <w:rPr>
                <w:rFonts w:ascii="Book Antiqua" w:hAnsi="Book Antiqua" w:cs="Calibri"/>
                <w:sz w:val="20"/>
              </w:rPr>
            </w:pPr>
          </w:p>
          <w:p w14:paraId="24EA7632" w14:textId="4BB963FF" w:rsidR="003600E1" w:rsidRPr="00EA28E4" w:rsidRDefault="00EF1D97" w:rsidP="00EF1D97">
            <w:pPr>
              <w:jc w:val="both"/>
              <w:rPr>
                <w:rFonts w:ascii="Book Antiqua" w:hAnsi="Book Antiqua" w:cs="Calibri"/>
                <w:sz w:val="20"/>
              </w:rPr>
            </w:pPr>
            <w:r w:rsidRPr="00EF1D97">
              <w:rPr>
                <w:rFonts w:ascii="Book Antiqua" w:hAnsi="Book Antiqua" w:cs="Calibri"/>
                <w:sz w:val="20"/>
              </w:rPr>
              <w:t>In this regard, kindly confirm that the cyclonic importance factor (K4 = 1.3) has been duly considered in the structural design of poles, including wind load calculations and load combinations, to ensure compliance with applicable statutory requirements and standards.</w:t>
            </w:r>
          </w:p>
        </w:tc>
        <w:tc>
          <w:tcPr>
            <w:tcW w:w="4096" w:type="dxa"/>
            <w:vAlign w:val="center"/>
          </w:tcPr>
          <w:p w14:paraId="51C52CC9" w14:textId="0374E585" w:rsidR="003600E1" w:rsidRPr="00967D76" w:rsidRDefault="00890ED3" w:rsidP="00142992">
            <w:pPr>
              <w:jc w:val="both"/>
              <w:rPr>
                <w:rFonts w:ascii="Book Antiqua" w:hAnsi="Book Antiqua" w:cs="Calibri"/>
                <w:sz w:val="20"/>
              </w:rPr>
            </w:pPr>
            <w:r w:rsidRPr="00890ED3">
              <w:rPr>
                <w:rFonts w:ascii="Book Antiqua" w:hAnsi="Book Antiqua" w:cs="Calibri"/>
                <w:sz w:val="20"/>
              </w:rPr>
              <w:t xml:space="preserve">Design of poles is under </w:t>
            </w:r>
            <w:proofErr w:type="gramStart"/>
            <w:r w:rsidRPr="00890ED3">
              <w:rPr>
                <w:rFonts w:ascii="Book Antiqua" w:hAnsi="Book Antiqua" w:cs="Calibri"/>
                <w:sz w:val="20"/>
              </w:rPr>
              <w:t>bidders</w:t>
            </w:r>
            <w:proofErr w:type="gramEnd"/>
            <w:r w:rsidRPr="00890ED3">
              <w:rPr>
                <w:rFonts w:ascii="Book Antiqua" w:hAnsi="Book Antiqua" w:cs="Calibri"/>
                <w:sz w:val="20"/>
              </w:rPr>
              <w:t xml:space="preserve"> scope. Bidder may refer to SECTION-IVF (VOLUME-II), Rev 3 (Oct’2025) of the Technical Specification regarding applicability of the Cyclonic (K4) factor.</w:t>
            </w:r>
          </w:p>
        </w:tc>
      </w:tr>
      <w:tr w:rsidR="003600E1" w14:paraId="67C2041E" w14:textId="77777777" w:rsidTr="005C3D93">
        <w:trPr>
          <w:trHeight w:val="915"/>
        </w:trPr>
        <w:tc>
          <w:tcPr>
            <w:tcW w:w="577" w:type="dxa"/>
            <w:vAlign w:val="center"/>
          </w:tcPr>
          <w:p w14:paraId="2E06D8E9" w14:textId="77777777" w:rsidR="003600E1" w:rsidRPr="00F44F86" w:rsidRDefault="003600E1"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128134BD" w14:textId="77777777" w:rsidR="003600E1" w:rsidRDefault="0010191D" w:rsidP="0010191D">
            <w:pPr>
              <w:jc w:val="both"/>
              <w:rPr>
                <w:rFonts w:ascii="Book Antiqua" w:hAnsi="Book Antiqua" w:cs="Calibri"/>
                <w:sz w:val="20"/>
              </w:rPr>
            </w:pPr>
            <w:r w:rsidRPr="0010191D">
              <w:rPr>
                <w:rFonts w:ascii="Book Antiqua" w:hAnsi="Book Antiqua" w:cs="Calibri"/>
                <w:sz w:val="20"/>
              </w:rPr>
              <w:t>SECTION-I A (VOLUME-II), Rev 15 (Sept’2025)</w:t>
            </w:r>
            <w:r>
              <w:rPr>
                <w:rFonts w:ascii="Book Antiqua" w:hAnsi="Book Antiqua" w:cs="Calibri"/>
                <w:sz w:val="20"/>
              </w:rPr>
              <w:t xml:space="preserve"> </w:t>
            </w:r>
            <w:r w:rsidRPr="0010191D">
              <w:rPr>
                <w:rFonts w:ascii="Book Antiqua" w:hAnsi="Book Antiqua" w:cs="Calibri"/>
                <w:sz w:val="20"/>
              </w:rPr>
              <w:t xml:space="preserve">Cl. </w:t>
            </w:r>
            <w:proofErr w:type="gramStart"/>
            <w:r w:rsidRPr="0010191D">
              <w:rPr>
                <w:rFonts w:ascii="Book Antiqua" w:hAnsi="Book Antiqua" w:cs="Calibri"/>
                <w:sz w:val="20"/>
              </w:rPr>
              <w:t>2,Pg</w:t>
            </w:r>
            <w:proofErr w:type="gramEnd"/>
            <w:r w:rsidRPr="0010191D">
              <w:rPr>
                <w:rFonts w:ascii="Book Antiqua" w:hAnsi="Book Antiqua" w:cs="Calibri"/>
                <w:sz w:val="20"/>
              </w:rPr>
              <w:t xml:space="preserve"> 5 of 31</w:t>
            </w:r>
            <w:r>
              <w:rPr>
                <w:rFonts w:ascii="Book Antiqua" w:hAnsi="Book Antiqua" w:cs="Calibri"/>
                <w:sz w:val="20"/>
              </w:rPr>
              <w:t>:</w:t>
            </w:r>
          </w:p>
          <w:p w14:paraId="025427B5" w14:textId="77777777" w:rsidR="003200BD" w:rsidRPr="003200BD" w:rsidRDefault="003200BD" w:rsidP="003200BD">
            <w:pPr>
              <w:jc w:val="both"/>
              <w:rPr>
                <w:rFonts w:ascii="Book Antiqua" w:hAnsi="Book Antiqua" w:cs="Calibri"/>
                <w:sz w:val="20"/>
              </w:rPr>
            </w:pPr>
            <w:r w:rsidRPr="003200BD">
              <w:rPr>
                <w:rFonts w:ascii="Book Antiqua" w:hAnsi="Book Antiqua" w:cs="Calibri"/>
                <w:sz w:val="20"/>
              </w:rPr>
              <w:t>The bidder/agency shall have successfully completed# execution of pile foundation work (s) within the last seven (7) years as on date of NOA. In the above work(s), the bidder’s experience should include the following: (</w:t>
            </w:r>
            <w:proofErr w:type="spellStart"/>
            <w:r w:rsidRPr="003200BD">
              <w:rPr>
                <w:rFonts w:ascii="Book Antiqua" w:hAnsi="Book Antiqua" w:cs="Calibri"/>
                <w:sz w:val="20"/>
              </w:rPr>
              <w:t>i</w:t>
            </w:r>
            <w:proofErr w:type="spellEnd"/>
            <w:r w:rsidRPr="003200BD">
              <w:rPr>
                <w:rFonts w:ascii="Book Antiqua" w:hAnsi="Book Antiqua" w:cs="Calibri"/>
                <w:sz w:val="20"/>
              </w:rPr>
              <w:t xml:space="preserve">) (ii) (iii) The bidder/agency should have installed cast-in-situ vertical bored pile foundation having </w:t>
            </w:r>
            <w:proofErr w:type="gramStart"/>
            <w:r w:rsidRPr="003200BD">
              <w:rPr>
                <w:rFonts w:ascii="Book Antiqua" w:hAnsi="Book Antiqua" w:cs="Calibri"/>
                <w:sz w:val="20"/>
              </w:rPr>
              <w:t>following</w:t>
            </w:r>
            <w:proofErr w:type="gramEnd"/>
            <w:r w:rsidRPr="003200BD">
              <w:rPr>
                <w:rFonts w:ascii="Book Antiqua" w:hAnsi="Book Antiqua" w:cs="Calibri"/>
                <w:sz w:val="20"/>
              </w:rPr>
              <w:t xml:space="preserve"> minimum diameter and having minimum depth of 25 meters below ground </w:t>
            </w:r>
            <w:proofErr w:type="gramStart"/>
            <w:r w:rsidRPr="003200BD">
              <w:rPr>
                <w:rFonts w:ascii="Book Antiqua" w:hAnsi="Book Antiqua" w:cs="Calibri"/>
                <w:sz w:val="20"/>
              </w:rPr>
              <w:t>level:-</w:t>
            </w:r>
            <w:proofErr w:type="gramEnd"/>
            <w:r w:rsidRPr="003200BD">
              <w:rPr>
                <w:rFonts w:ascii="Book Antiqua" w:hAnsi="Book Antiqua" w:cs="Calibri"/>
                <w:sz w:val="20"/>
              </w:rPr>
              <w:t xml:space="preserve"> </w:t>
            </w:r>
          </w:p>
          <w:p w14:paraId="7183F28A" w14:textId="77777777" w:rsidR="003200BD" w:rsidRPr="003200BD" w:rsidRDefault="003200BD" w:rsidP="003200BD">
            <w:pPr>
              <w:jc w:val="both"/>
              <w:rPr>
                <w:rFonts w:ascii="Book Antiqua" w:hAnsi="Book Antiqua" w:cs="Calibri"/>
                <w:sz w:val="20"/>
              </w:rPr>
            </w:pPr>
            <w:r w:rsidRPr="003200BD">
              <w:rPr>
                <w:rFonts w:ascii="Book Antiqua" w:hAnsi="Book Antiqua" w:cs="Calibri"/>
                <w:sz w:val="20"/>
              </w:rPr>
              <w:t>For Package TL01: 750 mm</w:t>
            </w:r>
          </w:p>
          <w:p w14:paraId="66DA2739" w14:textId="6DFC8348" w:rsidR="0010191D" w:rsidRPr="00C74E80" w:rsidRDefault="003200BD" w:rsidP="003200BD">
            <w:pPr>
              <w:jc w:val="both"/>
              <w:rPr>
                <w:rFonts w:ascii="Book Antiqua" w:hAnsi="Book Antiqua" w:cs="Calibri"/>
                <w:sz w:val="20"/>
              </w:rPr>
            </w:pPr>
            <w:r w:rsidRPr="003200BD">
              <w:rPr>
                <w:rFonts w:ascii="Book Antiqua" w:hAnsi="Book Antiqua" w:cs="Calibri"/>
                <w:sz w:val="20"/>
              </w:rPr>
              <w:t xml:space="preserve"> For Package TL02: 750 mm</w:t>
            </w:r>
          </w:p>
        </w:tc>
        <w:tc>
          <w:tcPr>
            <w:tcW w:w="5920" w:type="dxa"/>
            <w:vAlign w:val="center"/>
          </w:tcPr>
          <w:p w14:paraId="5A1FA69F" w14:textId="03487A9D" w:rsidR="003600E1" w:rsidRPr="00EA28E4" w:rsidRDefault="008F3124" w:rsidP="00386638">
            <w:pPr>
              <w:jc w:val="both"/>
              <w:rPr>
                <w:rFonts w:ascii="Book Antiqua" w:hAnsi="Book Antiqua" w:cs="Calibri"/>
                <w:sz w:val="20"/>
              </w:rPr>
            </w:pPr>
            <w:r w:rsidRPr="008F3124">
              <w:rPr>
                <w:rFonts w:ascii="Book Antiqua" w:hAnsi="Book Antiqua" w:cs="Calibri"/>
                <w:sz w:val="20"/>
              </w:rPr>
              <w:t>As per the relevant clause, a pile foundation with a minimum diameter of 750 mm is stipulated for the foundation works. In this regard, kindly confirm whether the raised chimney is required to be considered as part of the design scope. Additionally, please advise whether a pier- or caisson-type foundation system may be proposed as an acceptable alternative, subject to design adequacy and approval.</w:t>
            </w:r>
          </w:p>
        </w:tc>
        <w:tc>
          <w:tcPr>
            <w:tcW w:w="4096" w:type="dxa"/>
            <w:vAlign w:val="center"/>
          </w:tcPr>
          <w:p w14:paraId="0B4817B4" w14:textId="00749D05" w:rsidR="003600E1" w:rsidRPr="00967D76" w:rsidRDefault="001C3C96" w:rsidP="00386638">
            <w:pPr>
              <w:jc w:val="both"/>
              <w:rPr>
                <w:rFonts w:ascii="Book Antiqua" w:hAnsi="Book Antiqua" w:cs="Calibri"/>
                <w:sz w:val="20"/>
              </w:rPr>
            </w:pPr>
            <w:r w:rsidRPr="001C3C96">
              <w:rPr>
                <w:rFonts w:ascii="Book Antiqua" w:hAnsi="Book Antiqua" w:cs="Calibri"/>
                <w:sz w:val="20"/>
              </w:rPr>
              <w:t>Design of pile foundations are in the scope of Employer.</w:t>
            </w:r>
          </w:p>
        </w:tc>
      </w:tr>
      <w:tr w:rsidR="006600CF" w14:paraId="5DFB1B22" w14:textId="77777777" w:rsidTr="005C3D93">
        <w:trPr>
          <w:trHeight w:val="915"/>
        </w:trPr>
        <w:tc>
          <w:tcPr>
            <w:tcW w:w="577" w:type="dxa"/>
            <w:vAlign w:val="center"/>
          </w:tcPr>
          <w:p w14:paraId="464591BA" w14:textId="77777777" w:rsidR="006600CF" w:rsidRPr="00F44F86" w:rsidRDefault="006600CF"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39484BE4" w14:textId="77777777" w:rsidR="006600CF" w:rsidRDefault="0064664B" w:rsidP="0010191D">
            <w:pPr>
              <w:jc w:val="both"/>
              <w:rPr>
                <w:rFonts w:ascii="Book Antiqua" w:hAnsi="Book Antiqua" w:cs="Calibri"/>
                <w:sz w:val="20"/>
              </w:rPr>
            </w:pPr>
            <w:r w:rsidRPr="0064664B">
              <w:rPr>
                <w:rFonts w:ascii="Book Antiqua" w:hAnsi="Book Antiqua" w:cs="Calibri"/>
                <w:sz w:val="20"/>
              </w:rPr>
              <w:t>Part 2 /Sec VII C/1.1.1/1</w:t>
            </w:r>
            <w:r>
              <w:rPr>
                <w:rFonts w:ascii="Book Antiqua" w:hAnsi="Book Antiqua" w:cs="Calibri"/>
                <w:sz w:val="20"/>
              </w:rPr>
              <w:t xml:space="preserve">: </w:t>
            </w:r>
          </w:p>
          <w:p w14:paraId="75F46342" w14:textId="564B6144" w:rsidR="009C57C9" w:rsidRPr="0010191D" w:rsidRDefault="009C57C9" w:rsidP="0010191D">
            <w:pPr>
              <w:jc w:val="both"/>
              <w:rPr>
                <w:rFonts w:ascii="Book Antiqua" w:hAnsi="Book Antiqua" w:cs="Calibri"/>
                <w:sz w:val="20"/>
              </w:rPr>
            </w:pPr>
            <w:r w:rsidRPr="009C57C9">
              <w:rPr>
                <w:rFonts w:ascii="Book Antiqua" w:hAnsi="Book Antiqua" w:cs="Calibri"/>
                <w:sz w:val="20"/>
              </w:rPr>
              <w:t xml:space="preserve">The scope includes supplying, drawing, testing and commissioning of AAAC (All </w:t>
            </w:r>
            <w:proofErr w:type="spellStart"/>
            <w:r w:rsidRPr="009C57C9">
              <w:rPr>
                <w:rFonts w:ascii="Book Antiqua" w:hAnsi="Book Antiqua" w:cs="Calibri"/>
                <w:sz w:val="20"/>
              </w:rPr>
              <w:t>Aluminum</w:t>
            </w:r>
            <w:proofErr w:type="spellEnd"/>
            <w:r w:rsidRPr="009C57C9">
              <w:rPr>
                <w:rFonts w:ascii="Book Antiqua" w:hAnsi="Book Antiqua" w:cs="Calibri"/>
                <w:sz w:val="20"/>
              </w:rPr>
              <w:t xml:space="preserve"> Alloy Conductor) panther equivalent covered conductor of as per STP mentioned at Annexure-B2 suitable for 66kV S/C and D/C transmission lines on Steel Monopoles/Towers being constructed in Marine Environment of Andaman and Nicobar Island and passing through dense forest and wet environment.</w:t>
            </w:r>
          </w:p>
        </w:tc>
        <w:tc>
          <w:tcPr>
            <w:tcW w:w="5920" w:type="dxa"/>
            <w:vAlign w:val="center"/>
          </w:tcPr>
          <w:p w14:paraId="3B90E140" w14:textId="28AA909A" w:rsidR="006600CF" w:rsidRPr="008F3124" w:rsidRDefault="00C362BF" w:rsidP="00386638">
            <w:pPr>
              <w:jc w:val="both"/>
              <w:rPr>
                <w:rFonts w:ascii="Book Antiqua" w:hAnsi="Book Antiqua" w:cs="Calibri"/>
                <w:sz w:val="20"/>
              </w:rPr>
            </w:pPr>
            <w:r w:rsidRPr="00C362BF">
              <w:rPr>
                <w:rFonts w:ascii="Book Antiqua" w:hAnsi="Book Antiqua" w:cs="Calibri"/>
                <w:sz w:val="20"/>
              </w:rPr>
              <w:t>We request you to kindly provide the approved vendor list, if any, for MVCC conductors and their associated hardware fittings manufacturers.</w:t>
            </w:r>
          </w:p>
        </w:tc>
        <w:tc>
          <w:tcPr>
            <w:tcW w:w="4096" w:type="dxa"/>
            <w:vAlign w:val="center"/>
          </w:tcPr>
          <w:p w14:paraId="401E1AE8" w14:textId="12DD3A26" w:rsidR="006600CF" w:rsidRPr="001C3C96" w:rsidRDefault="00871DCC" w:rsidP="00386638">
            <w:pPr>
              <w:jc w:val="both"/>
              <w:rPr>
                <w:rFonts w:ascii="Book Antiqua" w:hAnsi="Book Antiqua" w:cs="Calibri"/>
                <w:sz w:val="20"/>
              </w:rPr>
            </w:pPr>
            <w:r w:rsidRPr="00871DCC">
              <w:rPr>
                <w:rFonts w:ascii="Book Antiqua" w:hAnsi="Book Antiqua" w:cs="Calibri"/>
                <w:sz w:val="20"/>
              </w:rPr>
              <w:t>Bidders to explore the vendors meeting the technical QR mentioned at clause 3.4 (q) in Section-IA Volume-II of Technical Specification.</w:t>
            </w:r>
          </w:p>
        </w:tc>
      </w:tr>
      <w:tr w:rsidR="00A35E32" w14:paraId="311AEC4C" w14:textId="77777777" w:rsidTr="005C3D93">
        <w:trPr>
          <w:trHeight w:val="915"/>
        </w:trPr>
        <w:tc>
          <w:tcPr>
            <w:tcW w:w="577" w:type="dxa"/>
            <w:vAlign w:val="center"/>
          </w:tcPr>
          <w:p w14:paraId="6C609A7F" w14:textId="77777777" w:rsidR="00A35E32" w:rsidRPr="00F44F86" w:rsidRDefault="00A35E32"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70CEA008" w14:textId="77777777" w:rsidR="00A35E32" w:rsidRDefault="00854571" w:rsidP="0010191D">
            <w:pPr>
              <w:jc w:val="both"/>
              <w:rPr>
                <w:rFonts w:ascii="Book Antiqua" w:hAnsi="Book Antiqua" w:cs="Calibri"/>
                <w:sz w:val="20"/>
              </w:rPr>
            </w:pPr>
            <w:r w:rsidRPr="00854571">
              <w:rPr>
                <w:rFonts w:ascii="Book Antiqua" w:hAnsi="Book Antiqua" w:cs="Calibri"/>
                <w:sz w:val="20"/>
              </w:rPr>
              <w:t>Part 2/Sec III S&amp;S/3.6.1 &amp; 10</w:t>
            </w:r>
            <w:r>
              <w:rPr>
                <w:rFonts w:ascii="Book Antiqua" w:hAnsi="Book Antiqua" w:cs="Calibri"/>
                <w:sz w:val="20"/>
              </w:rPr>
              <w:t>:</w:t>
            </w:r>
          </w:p>
          <w:p w14:paraId="5113E489" w14:textId="58F038EB" w:rsidR="00854571" w:rsidRPr="0064664B" w:rsidRDefault="00AF3A8B" w:rsidP="0010191D">
            <w:pPr>
              <w:jc w:val="both"/>
              <w:rPr>
                <w:rFonts w:ascii="Book Antiqua" w:hAnsi="Book Antiqua" w:cs="Calibri"/>
                <w:sz w:val="20"/>
              </w:rPr>
            </w:pPr>
            <w:r w:rsidRPr="00AF3A8B">
              <w:rPr>
                <w:rFonts w:ascii="Book Antiqua" w:hAnsi="Book Antiqua" w:cs="Calibri"/>
                <w:sz w:val="20"/>
              </w:rPr>
              <w:t>3.6.1 - The Contractor shall count, mark and put proper numbers with suitable quality of paint at his own cost on all the trees that are to be cut by the Employer at the time of actual execution of the work as detailed below. Contractor may please note that Employer shall not pay any compensation for any loss or damage to the properties or for tree cutting due to Contractor’s work.</w:t>
            </w:r>
          </w:p>
        </w:tc>
        <w:tc>
          <w:tcPr>
            <w:tcW w:w="5920" w:type="dxa"/>
            <w:vAlign w:val="center"/>
          </w:tcPr>
          <w:p w14:paraId="29ADFE14" w14:textId="77777777" w:rsidR="003567CC" w:rsidRPr="003567CC" w:rsidRDefault="003567CC" w:rsidP="003567CC">
            <w:pPr>
              <w:rPr>
                <w:rFonts w:ascii="Book Antiqua" w:hAnsi="Book Antiqua" w:cs="Calibri"/>
                <w:sz w:val="20"/>
              </w:rPr>
            </w:pPr>
            <w:r w:rsidRPr="003567CC">
              <w:rPr>
                <w:rFonts w:ascii="Book Antiqua" w:hAnsi="Book Antiqua" w:cs="Calibri"/>
                <w:sz w:val="20"/>
              </w:rPr>
              <w:t xml:space="preserve">We </w:t>
            </w:r>
            <w:proofErr w:type="spellStart"/>
            <w:r w:rsidRPr="003567CC">
              <w:rPr>
                <w:rFonts w:ascii="Book Antiqua" w:hAnsi="Book Antiqua" w:cs="Calibri"/>
                <w:sz w:val="20"/>
              </w:rPr>
              <w:t>undertand</w:t>
            </w:r>
            <w:proofErr w:type="spellEnd"/>
            <w:r w:rsidRPr="003567CC">
              <w:rPr>
                <w:rFonts w:ascii="Book Antiqua" w:hAnsi="Book Antiqua" w:cs="Calibri"/>
                <w:sz w:val="20"/>
              </w:rPr>
              <w:t xml:space="preserve"> that Actual tree cutting and associated permissions/clearances are in the scope of the Employer (PGCIL).</w:t>
            </w:r>
          </w:p>
          <w:p w14:paraId="12F9197D" w14:textId="77777777" w:rsidR="003567CC" w:rsidRPr="003567CC" w:rsidRDefault="003567CC" w:rsidP="003567CC">
            <w:pPr>
              <w:rPr>
                <w:rFonts w:ascii="Book Antiqua" w:hAnsi="Book Antiqua" w:cs="Calibri"/>
                <w:sz w:val="20"/>
              </w:rPr>
            </w:pPr>
          </w:p>
          <w:p w14:paraId="033332EA" w14:textId="79538A2D" w:rsidR="00A35E32" w:rsidRPr="00C362BF" w:rsidRDefault="003567CC" w:rsidP="003567CC">
            <w:pPr>
              <w:jc w:val="both"/>
              <w:rPr>
                <w:rFonts w:ascii="Book Antiqua" w:hAnsi="Book Antiqua" w:cs="Calibri"/>
                <w:sz w:val="20"/>
              </w:rPr>
            </w:pPr>
            <w:r w:rsidRPr="003567CC">
              <w:rPr>
                <w:rFonts w:ascii="Book Antiqua" w:hAnsi="Book Antiqua" w:cs="Calibri"/>
                <w:sz w:val="20"/>
              </w:rPr>
              <w:t xml:space="preserve">The Contractor’s scope is limited only to identification, counting, marking, and numbering of trees to be </w:t>
            </w:r>
            <w:proofErr w:type="spellStart"/>
            <w:proofErr w:type="gramStart"/>
            <w:r w:rsidRPr="003567CC">
              <w:rPr>
                <w:rFonts w:ascii="Book Antiqua" w:hAnsi="Book Antiqua" w:cs="Calibri"/>
                <w:sz w:val="20"/>
              </w:rPr>
              <w:t>cut.Any</w:t>
            </w:r>
            <w:proofErr w:type="spellEnd"/>
            <w:proofErr w:type="gramEnd"/>
            <w:r w:rsidRPr="003567CC">
              <w:rPr>
                <w:rFonts w:ascii="Book Antiqua" w:hAnsi="Book Antiqua" w:cs="Calibri"/>
                <w:sz w:val="20"/>
              </w:rPr>
              <w:t xml:space="preserve"> compensation, charges, or liabilities arising out of tree cutting or damage to properties are not payable by the Contractor. Kindly confirm whether our above understanding is correct.</w:t>
            </w:r>
          </w:p>
        </w:tc>
        <w:tc>
          <w:tcPr>
            <w:tcW w:w="4096" w:type="dxa"/>
            <w:vAlign w:val="center"/>
          </w:tcPr>
          <w:p w14:paraId="5E34F7FF" w14:textId="05ACD9A1" w:rsidR="00A35E32" w:rsidRPr="00871DCC" w:rsidRDefault="00F4105B" w:rsidP="00386638">
            <w:pPr>
              <w:jc w:val="both"/>
              <w:rPr>
                <w:rFonts w:ascii="Book Antiqua" w:hAnsi="Book Antiqua" w:cs="Calibri"/>
                <w:sz w:val="20"/>
              </w:rPr>
            </w:pPr>
            <w:r w:rsidRPr="00F4105B">
              <w:rPr>
                <w:rFonts w:ascii="Book Antiqua" w:hAnsi="Book Antiqua" w:cs="Calibri"/>
                <w:sz w:val="20"/>
              </w:rPr>
              <w:t>Bidders may refer to clause 3.6 of SECTION-III (VOLUME-II)</w:t>
            </w:r>
          </w:p>
        </w:tc>
      </w:tr>
      <w:tr w:rsidR="00A35E32" w14:paraId="1C630BB9" w14:textId="77777777" w:rsidTr="005C3D93">
        <w:trPr>
          <w:trHeight w:val="6443"/>
        </w:trPr>
        <w:tc>
          <w:tcPr>
            <w:tcW w:w="577" w:type="dxa"/>
            <w:vAlign w:val="center"/>
          </w:tcPr>
          <w:p w14:paraId="75E98008" w14:textId="77777777" w:rsidR="00A35E32" w:rsidRPr="00F44F86" w:rsidRDefault="00A35E32"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73DD34DE" w14:textId="77777777" w:rsidR="00A35E32" w:rsidRDefault="00E45AD2" w:rsidP="0010191D">
            <w:pPr>
              <w:jc w:val="both"/>
              <w:rPr>
                <w:rFonts w:ascii="Book Antiqua" w:hAnsi="Book Antiqua" w:cs="Calibri"/>
                <w:sz w:val="20"/>
              </w:rPr>
            </w:pPr>
            <w:r w:rsidRPr="00E45AD2">
              <w:rPr>
                <w:rFonts w:ascii="Book Antiqua" w:hAnsi="Book Antiqua" w:cs="Calibri"/>
                <w:sz w:val="20"/>
              </w:rPr>
              <w:t>Part 2/ Sec 9A/Pile foundation/1.2.1.4/2.1.2 &amp; 7,13</w:t>
            </w:r>
            <w:r>
              <w:rPr>
                <w:rFonts w:ascii="Book Antiqua" w:hAnsi="Book Antiqua" w:cs="Calibri"/>
                <w:sz w:val="20"/>
              </w:rPr>
              <w:t>:</w:t>
            </w:r>
          </w:p>
          <w:p w14:paraId="7361E1B3" w14:textId="77777777" w:rsidR="00EE1C1A" w:rsidRPr="00EE1C1A" w:rsidRDefault="00EE1C1A" w:rsidP="00EE1C1A">
            <w:pPr>
              <w:rPr>
                <w:rFonts w:ascii="Book Antiqua" w:hAnsi="Book Antiqua" w:cs="Calibri"/>
                <w:sz w:val="20"/>
              </w:rPr>
            </w:pPr>
            <w:r w:rsidRPr="00EE1C1A">
              <w:rPr>
                <w:rFonts w:ascii="Book Antiqua" w:hAnsi="Book Antiqua" w:cs="Calibri"/>
                <w:sz w:val="20"/>
              </w:rPr>
              <w:t>1.2.1.4 - The Bidder's offer should be based on the mobilization of at least one no. piling rig for each tower location together with all associated working gangs, tool etc. (including at least one no. of Rotary Hydraulic drilling rig capable of boring suitable diameter piles up-to designed depth below existing ground level with necessary tools/ accessories for boring). ***</w:t>
            </w:r>
          </w:p>
          <w:p w14:paraId="0D1C92DB" w14:textId="77777777" w:rsidR="00EE1C1A" w:rsidRPr="00EE1C1A" w:rsidRDefault="00EE1C1A" w:rsidP="00EE1C1A">
            <w:pPr>
              <w:rPr>
                <w:rFonts w:ascii="Book Antiqua" w:hAnsi="Book Antiqua" w:cs="Calibri"/>
                <w:sz w:val="20"/>
              </w:rPr>
            </w:pPr>
          </w:p>
          <w:p w14:paraId="0016D94E" w14:textId="77777777" w:rsidR="00E45AD2" w:rsidRDefault="00EE1C1A" w:rsidP="00EE1C1A">
            <w:pPr>
              <w:jc w:val="both"/>
              <w:rPr>
                <w:rFonts w:ascii="Book Antiqua" w:hAnsi="Book Antiqua" w:cs="Calibri"/>
                <w:sz w:val="20"/>
              </w:rPr>
            </w:pPr>
            <w:r w:rsidRPr="00EE1C1A">
              <w:rPr>
                <w:rFonts w:ascii="Book Antiqua" w:hAnsi="Book Antiqua" w:cs="Calibri"/>
                <w:sz w:val="20"/>
              </w:rPr>
              <w:t xml:space="preserve">2.1.2 - ***. The minimum capacities of some key equipment are listed below. However, bidder </w:t>
            </w:r>
            <w:proofErr w:type="gramStart"/>
            <w:r w:rsidRPr="00EE1C1A">
              <w:rPr>
                <w:rFonts w:ascii="Book Antiqua" w:hAnsi="Book Antiqua" w:cs="Calibri"/>
                <w:sz w:val="20"/>
              </w:rPr>
              <w:t>has to</w:t>
            </w:r>
            <w:proofErr w:type="gramEnd"/>
            <w:r w:rsidRPr="00EE1C1A">
              <w:rPr>
                <w:rFonts w:ascii="Book Antiqua" w:hAnsi="Book Antiqua" w:cs="Calibri"/>
                <w:sz w:val="20"/>
              </w:rPr>
              <w:t xml:space="preserve"> furnish information regarding the </w:t>
            </w:r>
            <w:proofErr w:type="spellStart"/>
            <w:r w:rsidRPr="00EE1C1A">
              <w:rPr>
                <w:rFonts w:ascii="Book Antiqua" w:hAnsi="Book Antiqua" w:cs="Calibri"/>
                <w:sz w:val="20"/>
              </w:rPr>
              <w:t>equipments</w:t>
            </w:r>
            <w:proofErr w:type="spellEnd"/>
            <w:r w:rsidRPr="00EE1C1A">
              <w:rPr>
                <w:rFonts w:ascii="Book Antiqua" w:hAnsi="Book Antiqua" w:cs="Calibri"/>
                <w:sz w:val="20"/>
              </w:rPr>
              <w:t xml:space="preserve"> they intend to deploy for the project as per Performa stipulated in the relevant schedules of the BPS</w:t>
            </w:r>
          </w:p>
          <w:p w14:paraId="6952500F" w14:textId="77777777" w:rsidR="00EE1C1A" w:rsidRDefault="00EE1C1A" w:rsidP="00EE1C1A">
            <w:pPr>
              <w:jc w:val="both"/>
              <w:rPr>
                <w:rFonts w:ascii="Book Antiqua" w:hAnsi="Book Antiqua" w:cs="Calibri"/>
                <w:sz w:val="20"/>
              </w:rPr>
            </w:pPr>
          </w:p>
          <w:p w14:paraId="19E1A77F" w14:textId="324BB9DA" w:rsidR="00EE1C1A" w:rsidRPr="0064664B" w:rsidRDefault="006172FD" w:rsidP="00EE1C1A">
            <w:pPr>
              <w:jc w:val="both"/>
              <w:rPr>
                <w:rFonts w:ascii="Book Antiqua" w:hAnsi="Book Antiqua" w:cs="Calibri"/>
                <w:sz w:val="20"/>
              </w:rPr>
            </w:pPr>
            <w:r w:rsidRPr="00A521BF">
              <w:rPr>
                <w:rFonts w:ascii="Calibri" w:eastAsia="Times New Roman" w:hAnsi="Calibri" w:cs="Calibri"/>
                <w:noProof/>
                <w:color w:val="000000"/>
                <w:kern w:val="0"/>
                <w:szCs w:val="22"/>
                <w:lang w:eastAsia="en-IN"/>
                <w14:ligatures w14:val="none"/>
              </w:rPr>
              <w:drawing>
                <wp:inline distT="0" distB="0" distL="0" distR="0" wp14:anchorId="1E25B4CB" wp14:editId="2983DA10">
                  <wp:extent cx="2498410" cy="895350"/>
                  <wp:effectExtent l="0" t="0" r="0" b="0"/>
                  <wp:docPr id="1349265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3265" cy="904257"/>
                          </a:xfrm>
                          <a:prstGeom prst="rect">
                            <a:avLst/>
                          </a:prstGeom>
                          <a:noFill/>
                          <a:ln>
                            <a:noFill/>
                          </a:ln>
                        </pic:spPr>
                      </pic:pic>
                    </a:graphicData>
                  </a:graphic>
                </wp:inline>
              </w:drawing>
            </w:r>
          </w:p>
        </w:tc>
        <w:tc>
          <w:tcPr>
            <w:tcW w:w="5920" w:type="dxa"/>
            <w:vAlign w:val="center"/>
          </w:tcPr>
          <w:p w14:paraId="00E37EE5" w14:textId="6DC701EE" w:rsidR="00A35E32" w:rsidRPr="00C362BF" w:rsidRDefault="00DE4C7E" w:rsidP="00386638">
            <w:pPr>
              <w:jc w:val="both"/>
              <w:rPr>
                <w:rFonts w:ascii="Book Antiqua" w:hAnsi="Book Antiqua" w:cs="Calibri"/>
                <w:sz w:val="20"/>
              </w:rPr>
            </w:pPr>
            <w:r w:rsidRPr="00DE4C7E">
              <w:rPr>
                <w:rFonts w:ascii="Book Antiqua" w:hAnsi="Book Antiqua" w:cs="Calibri"/>
                <w:sz w:val="20"/>
              </w:rPr>
              <w:t xml:space="preserve">We understand that any kind of Rig machine </w:t>
            </w:r>
            <w:proofErr w:type="spellStart"/>
            <w:r w:rsidRPr="00DE4C7E">
              <w:rPr>
                <w:rFonts w:ascii="Book Antiqua" w:hAnsi="Book Antiqua" w:cs="Calibri"/>
                <w:sz w:val="20"/>
              </w:rPr>
              <w:t>i.e</w:t>
            </w:r>
            <w:proofErr w:type="spellEnd"/>
            <w:r w:rsidRPr="00DE4C7E">
              <w:rPr>
                <w:rFonts w:ascii="Book Antiqua" w:hAnsi="Book Antiqua" w:cs="Calibri"/>
                <w:sz w:val="20"/>
              </w:rPr>
              <w:t xml:space="preserve"> Hydraulic Rig/Tractor mounted PRD Rotary Rig/Truck Mounted Rig/Winch/Tripod etc which has torque greater than 12T capacity are allowed for the Piling works for the subject tender packages</w:t>
            </w:r>
          </w:p>
        </w:tc>
        <w:tc>
          <w:tcPr>
            <w:tcW w:w="4096" w:type="dxa"/>
            <w:vAlign w:val="center"/>
          </w:tcPr>
          <w:p w14:paraId="3287BCCE" w14:textId="159ED193" w:rsidR="00A35E32" w:rsidRPr="00871DCC" w:rsidRDefault="00290F6C" w:rsidP="00386638">
            <w:pPr>
              <w:jc w:val="both"/>
              <w:rPr>
                <w:rFonts w:ascii="Book Antiqua" w:hAnsi="Book Antiqua" w:cs="Calibri"/>
                <w:sz w:val="20"/>
              </w:rPr>
            </w:pPr>
            <w:r w:rsidRPr="00290F6C">
              <w:rPr>
                <w:rFonts w:ascii="Book Antiqua" w:hAnsi="Book Antiqua" w:cs="Calibri"/>
                <w:sz w:val="20"/>
              </w:rPr>
              <w:t xml:space="preserve">Bidders to comply </w:t>
            </w:r>
            <w:r>
              <w:rPr>
                <w:rFonts w:ascii="Book Antiqua" w:hAnsi="Book Antiqua" w:cs="Calibri"/>
                <w:sz w:val="20"/>
              </w:rPr>
              <w:t xml:space="preserve">with </w:t>
            </w:r>
            <w:r w:rsidRPr="00290F6C">
              <w:rPr>
                <w:rFonts w:ascii="Book Antiqua" w:hAnsi="Book Antiqua" w:cs="Calibri"/>
                <w:sz w:val="20"/>
              </w:rPr>
              <w:t>the provision</w:t>
            </w:r>
            <w:r>
              <w:rPr>
                <w:rFonts w:ascii="Book Antiqua" w:hAnsi="Book Antiqua" w:cs="Calibri"/>
                <w:sz w:val="20"/>
              </w:rPr>
              <w:t>s</w:t>
            </w:r>
            <w:r w:rsidRPr="00290F6C">
              <w:rPr>
                <w:rFonts w:ascii="Book Antiqua" w:hAnsi="Book Antiqua" w:cs="Calibri"/>
                <w:sz w:val="20"/>
              </w:rPr>
              <w:t xml:space="preserve"> of bidding document</w:t>
            </w:r>
            <w:r>
              <w:rPr>
                <w:rFonts w:ascii="Book Antiqua" w:hAnsi="Book Antiqua" w:cs="Calibri"/>
                <w:sz w:val="20"/>
              </w:rPr>
              <w:t>s</w:t>
            </w:r>
          </w:p>
        </w:tc>
      </w:tr>
      <w:tr w:rsidR="00A35E32" w14:paraId="177C5BE8" w14:textId="77777777" w:rsidTr="005C3D93">
        <w:trPr>
          <w:trHeight w:val="915"/>
        </w:trPr>
        <w:tc>
          <w:tcPr>
            <w:tcW w:w="577" w:type="dxa"/>
            <w:vAlign w:val="center"/>
          </w:tcPr>
          <w:p w14:paraId="060A0984" w14:textId="77777777" w:rsidR="00A35E32" w:rsidRPr="00F44F86" w:rsidRDefault="00A35E32"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4A1BB9D6" w14:textId="3A9C28AC" w:rsidR="00A35E32" w:rsidRPr="0064664B" w:rsidRDefault="005E5FB1" w:rsidP="0010191D">
            <w:pPr>
              <w:jc w:val="both"/>
              <w:rPr>
                <w:rFonts w:ascii="Book Antiqua" w:hAnsi="Book Antiqua" w:cs="Calibri"/>
                <w:sz w:val="20"/>
              </w:rPr>
            </w:pPr>
            <w:r>
              <w:rPr>
                <w:rFonts w:ascii="Book Antiqua" w:hAnsi="Book Antiqua" w:cs="Calibri"/>
                <w:sz w:val="20"/>
              </w:rPr>
              <w:t>General</w:t>
            </w:r>
          </w:p>
        </w:tc>
        <w:tc>
          <w:tcPr>
            <w:tcW w:w="5920" w:type="dxa"/>
            <w:vAlign w:val="center"/>
          </w:tcPr>
          <w:p w14:paraId="24B51904" w14:textId="7ABD2A4B" w:rsidR="00A35E32" w:rsidRPr="00C362BF" w:rsidRDefault="005E5FB1" w:rsidP="00386638">
            <w:pPr>
              <w:jc w:val="both"/>
              <w:rPr>
                <w:rFonts w:ascii="Book Antiqua" w:hAnsi="Book Antiqua" w:cs="Calibri"/>
                <w:sz w:val="20"/>
              </w:rPr>
            </w:pPr>
            <w:r w:rsidRPr="005E5FB1">
              <w:rPr>
                <w:rFonts w:ascii="Book Antiqua" w:hAnsi="Book Antiqua" w:cs="Calibri"/>
                <w:sz w:val="20"/>
              </w:rPr>
              <w:t>For setting up the RMC batching plant, we request confirmation whether adequate space can be provided at the substation location, as most of the major locations under the subject tender package are situated in forest areas.</w:t>
            </w:r>
          </w:p>
        </w:tc>
        <w:tc>
          <w:tcPr>
            <w:tcW w:w="4096" w:type="dxa"/>
            <w:vAlign w:val="center"/>
          </w:tcPr>
          <w:p w14:paraId="528D72DD" w14:textId="69ED72BA" w:rsidR="00A35E32" w:rsidRPr="00871DCC" w:rsidRDefault="007B7FD8" w:rsidP="00386638">
            <w:pPr>
              <w:jc w:val="both"/>
              <w:rPr>
                <w:rFonts w:ascii="Book Antiqua" w:hAnsi="Book Antiqua" w:cs="Calibri"/>
                <w:sz w:val="20"/>
              </w:rPr>
            </w:pPr>
            <w:r w:rsidRPr="007B7FD8">
              <w:rPr>
                <w:rFonts w:ascii="Book Antiqua" w:hAnsi="Book Antiqua" w:cs="Calibri"/>
                <w:sz w:val="20"/>
              </w:rPr>
              <w:t>Bidders may refer to clause 1.4.1 of SECTION-IA (VOLUME-II)</w:t>
            </w:r>
          </w:p>
        </w:tc>
      </w:tr>
      <w:tr w:rsidR="00A35E32" w14:paraId="4F39F2D7" w14:textId="77777777" w:rsidTr="005C3D93">
        <w:trPr>
          <w:trHeight w:val="915"/>
        </w:trPr>
        <w:tc>
          <w:tcPr>
            <w:tcW w:w="577" w:type="dxa"/>
            <w:vAlign w:val="center"/>
          </w:tcPr>
          <w:p w14:paraId="4C2A9B65" w14:textId="77777777" w:rsidR="00A35E32" w:rsidRPr="00F44F86" w:rsidRDefault="00A35E32"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1998508E" w14:textId="650C8834" w:rsidR="00A35E32" w:rsidRPr="0064664B" w:rsidRDefault="002933BC" w:rsidP="0010191D">
            <w:pPr>
              <w:jc w:val="both"/>
              <w:rPr>
                <w:rFonts w:ascii="Book Antiqua" w:hAnsi="Book Antiqua" w:cs="Calibri"/>
                <w:sz w:val="20"/>
              </w:rPr>
            </w:pPr>
            <w:r>
              <w:rPr>
                <w:rFonts w:ascii="Book Antiqua" w:hAnsi="Book Antiqua" w:cs="Calibri"/>
                <w:sz w:val="20"/>
              </w:rPr>
              <w:t>General</w:t>
            </w:r>
          </w:p>
        </w:tc>
        <w:tc>
          <w:tcPr>
            <w:tcW w:w="5920" w:type="dxa"/>
            <w:vAlign w:val="center"/>
          </w:tcPr>
          <w:p w14:paraId="0357096B" w14:textId="3E139345" w:rsidR="00A35E32" w:rsidRPr="00C362BF" w:rsidRDefault="002933BC" w:rsidP="00386638">
            <w:pPr>
              <w:jc w:val="both"/>
              <w:rPr>
                <w:rFonts w:ascii="Book Antiqua" w:hAnsi="Book Antiqua" w:cs="Calibri"/>
                <w:sz w:val="20"/>
              </w:rPr>
            </w:pPr>
            <w:r w:rsidRPr="002933BC">
              <w:rPr>
                <w:rFonts w:ascii="Book Antiqua" w:hAnsi="Book Antiqua" w:cs="Calibri"/>
                <w:sz w:val="20"/>
              </w:rPr>
              <w:t xml:space="preserve">2. We need to carry our survey; therefore, we request you to kindly arrange to provide </w:t>
            </w:r>
            <w:proofErr w:type="spellStart"/>
            <w:r w:rsidRPr="002933BC">
              <w:rPr>
                <w:rFonts w:ascii="Book Antiqua" w:hAnsi="Book Antiqua" w:cs="Calibri"/>
                <w:sz w:val="20"/>
              </w:rPr>
              <w:t>kmz</w:t>
            </w:r>
            <w:proofErr w:type="spellEnd"/>
            <w:r w:rsidRPr="002933BC">
              <w:rPr>
                <w:rFonts w:ascii="Book Antiqua" w:hAnsi="Book Antiqua" w:cs="Calibri"/>
                <w:sz w:val="20"/>
              </w:rPr>
              <w:t xml:space="preserve"> file for the </w:t>
            </w:r>
            <w:proofErr w:type="gramStart"/>
            <w:r w:rsidRPr="002933BC">
              <w:rPr>
                <w:rFonts w:ascii="Book Antiqua" w:hAnsi="Book Antiqua" w:cs="Calibri"/>
                <w:sz w:val="20"/>
              </w:rPr>
              <w:t>above mentioned</w:t>
            </w:r>
            <w:proofErr w:type="gramEnd"/>
            <w:r w:rsidRPr="002933BC">
              <w:rPr>
                <w:rFonts w:ascii="Book Antiqua" w:hAnsi="Book Antiqua" w:cs="Calibri"/>
                <w:sz w:val="20"/>
              </w:rPr>
              <w:t xml:space="preserve"> line.</w:t>
            </w:r>
          </w:p>
        </w:tc>
        <w:tc>
          <w:tcPr>
            <w:tcW w:w="4096" w:type="dxa"/>
            <w:vAlign w:val="center"/>
          </w:tcPr>
          <w:p w14:paraId="3D10F954" w14:textId="322636DE" w:rsidR="00A35E32" w:rsidRPr="00871DCC" w:rsidRDefault="0057743A" w:rsidP="00386638">
            <w:pPr>
              <w:jc w:val="both"/>
              <w:rPr>
                <w:rFonts w:ascii="Book Antiqua" w:hAnsi="Book Antiqua" w:cs="Calibri"/>
                <w:sz w:val="20"/>
              </w:rPr>
            </w:pPr>
            <w:r w:rsidRPr="0057743A">
              <w:rPr>
                <w:rFonts w:ascii="Book Antiqua" w:hAnsi="Book Antiqua" w:cs="Calibri"/>
                <w:sz w:val="20"/>
              </w:rPr>
              <w:t>Bidders may visit the line route to acquaint themselves with terrain conditions and associated details of the proposed transmission lines. For details of contact person Bidders may refer to clause 1.4.1 of Section-IA (Volume-II) of Technical Specification.</w:t>
            </w:r>
          </w:p>
        </w:tc>
      </w:tr>
      <w:tr w:rsidR="00A35E32" w14:paraId="115ADFD7" w14:textId="77777777" w:rsidTr="005C3D93">
        <w:trPr>
          <w:trHeight w:val="915"/>
        </w:trPr>
        <w:tc>
          <w:tcPr>
            <w:tcW w:w="577" w:type="dxa"/>
            <w:vAlign w:val="center"/>
          </w:tcPr>
          <w:p w14:paraId="0F6B934E" w14:textId="77777777" w:rsidR="00A35E32" w:rsidRPr="00F44F86" w:rsidRDefault="00A35E32"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2CFECA24" w14:textId="35A4F612" w:rsidR="00A35E32" w:rsidRPr="0064664B" w:rsidRDefault="003B7DF9" w:rsidP="0010191D">
            <w:pPr>
              <w:jc w:val="both"/>
              <w:rPr>
                <w:rFonts w:ascii="Book Antiqua" w:hAnsi="Book Antiqua" w:cs="Calibri"/>
                <w:sz w:val="20"/>
              </w:rPr>
            </w:pPr>
            <w:r w:rsidRPr="003B7DF9">
              <w:rPr>
                <w:rFonts w:ascii="Book Antiqua" w:hAnsi="Book Antiqua" w:cs="Calibri"/>
                <w:sz w:val="20"/>
              </w:rPr>
              <w:t xml:space="preserve">Site </w:t>
            </w:r>
            <w:proofErr w:type="gramStart"/>
            <w:r w:rsidRPr="003B7DF9">
              <w:rPr>
                <w:rFonts w:ascii="Book Antiqua" w:hAnsi="Book Antiqua" w:cs="Calibri"/>
                <w:sz w:val="20"/>
              </w:rPr>
              <w:t>Visit</w:t>
            </w:r>
            <w:r w:rsidR="00D97D4C">
              <w:rPr>
                <w:rFonts w:ascii="Book Antiqua" w:hAnsi="Book Antiqua" w:cs="Calibri"/>
                <w:sz w:val="20"/>
              </w:rPr>
              <w:t xml:space="preserve"> :</w:t>
            </w:r>
            <w:proofErr w:type="gramEnd"/>
            <w:r w:rsidR="00D97D4C">
              <w:rPr>
                <w:rFonts w:ascii="Book Antiqua" w:hAnsi="Book Antiqua" w:cs="Calibri"/>
                <w:sz w:val="20"/>
              </w:rPr>
              <w:t xml:space="preserve"> </w:t>
            </w:r>
            <w:r w:rsidR="00D97D4C" w:rsidRPr="00D97D4C">
              <w:rPr>
                <w:rFonts w:ascii="Book Antiqua" w:hAnsi="Book Antiqua" w:cs="Calibri"/>
                <w:sz w:val="20"/>
              </w:rPr>
              <w:t>66kV power source</w:t>
            </w:r>
          </w:p>
        </w:tc>
        <w:tc>
          <w:tcPr>
            <w:tcW w:w="5920" w:type="dxa"/>
            <w:vAlign w:val="center"/>
          </w:tcPr>
          <w:p w14:paraId="459D8066" w14:textId="6EE0EFC5" w:rsidR="00A35E32" w:rsidRPr="00C362BF" w:rsidRDefault="00F233B2" w:rsidP="00386638">
            <w:pPr>
              <w:jc w:val="both"/>
              <w:rPr>
                <w:rFonts w:ascii="Book Antiqua" w:hAnsi="Book Antiqua" w:cs="Calibri"/>
                <w:sz w:val="20"/>
              </w:rPr>
            </w:pPr>
            <w:r w:rsidRPr="00F233B2">
              <w:rPr>
                <w:rFonts w:ascii="Book Antiqua" w:hAnsi="Book Antiqua" w:cs="Calibri"/>
                <w:sz w:val="20"/>
              </w:rPr>
              <w:t>During our site visit, it was observed that there is no existing power source of 66 kV or higher voltage level available across the entire island. In view of the above, kindly clarify and confirm the proposed methodology for energization of the transmission line upon completion of erection and installation works.</w:t>
            </w:r>
          </w:p>
        </w:tc>
        <w:tc>
          <w:tcPr>
            <w:tcW w:w="4096" w:type="dxa"/>
            <w:vAlign w:val="center"/>
          </w:tcPr>
          <w:p w14:paraId="4653A12C" w14:textId="570EB556" w:rsidR="00A35E32" w:rsidRPr="00871DCC" w:rsidRDefault="002277F2" w:rsidP="00386638">
            <w:pPr>
              <w:jc w:val="both"/>
              <w:rPr>
                <w:rFonts w:ascii="Book Antiqua" w:hAnsi="Book Antiqua" w:cs="Calibri"/>
                <w:sz w:val="20"/>
              </w:rPr>
            </w:pPr>
            <w:r w:rsidRPr="002277F2">
              <w:rPr>
                <w:rFonts w:ascii="Book Antiqua" w:hAnsi="Book Antiqua" w:cs="Calibri"/>
                <w:sz w:val="20"/>
              </w:rPr>
              <w:t>Bidders scope is limited to supply, installation, erection, testing and commissioning of the transmission line.</w:t>
            </w:r>
          </w:p>
        </w:tc>
      </w:tr>
      <w:tr w:rsidR="00A35E32" w14:paraId="7DEB7A9E" w14:textId="77777777" w:rsidTr="005C3D93">
        <w:trPr>
          <w:trHeight w:val="915"/>
        </w:trPr>
        <w:tc>
          <w:tcPr>
            <w:tcW w:w="577" w:type="dxa"/>
            <w:vAlign w:val="center"/>
          </w:tcPr>
          <w:p w14:paraId="0C73BD0F" w14:textId="77777777" w:rsidR="00A35E32" w:rsidRPr="00F44F86" w:rsidRDefault="00A35E32"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4F28ABF6" w14:textId="163A14A5" w:rsidR="00A35E32" w:rsidRPr="0064664B" w:rsidRDefault="00A71384" w:rsidP="0010191D">
            <w:pPr>
              <w:jc w:val="both"/>
              <w:rPr>
                <w:rFonts w:ascii="Book Antiqua" w:hAnsi="Book Antiqua" w:cs="Calibri"/>
                <w:sz w:val="20"/>
              </w:rPr>
            </w:pPr>
            <w:r w:rsidRPr="00A71384">
              <w:rPr>
                <w:rFonts w:ascii="Book Antiqua" w:hAnsi="Book Antiqua" w:cs="Calibri"/>
                <w:sz w:val="20"/>
              </w:rPr>
              <w:t>General</w:t>
            </w:r>
            <w:r>
              <w:rPr>
                <w:rFonts w:ascii="Book Antiqua" w:hAnsi="Book Antiqua" w:cs="Calibri"/>
                <w:sz w:val="20"/>
              </w:rPr>
              <w:t xml:space="preserve">: </w:t>
            </w:r>
            <w:r w:rsidR="00D81F20" w:rsidRPr="00D81F20">
              <w:rPr>
                <w:rFonts w:ascii="Book Antiqua" w:hAnsi="Book Antiqua" w:cs="Calibri"/>
                <w:sz w:val="20"/>
              </w:rPr>
              <w:t>Project Commissioning</w:t>
            </w:r>
          </w:p>
        </w:tc>
        <w:tc>
          <w:tcPr>
            <w:tcW w:w="5920" w:type="dxa"/>
            <w:vAlign w:val="center"/>
          </w:tcPr>
          <w:p w14:paraId="6659C917" w14:textId="1CD08B5F" w:rsidR="00A35E32" w:rsidRPr="00C362BF" w:rsidRDefault="00117C08" w:rsidP="00386638">
            <w:pPr>
              <w:jc w:val="both"/>
              <w:rPr>
                <w:rFonts w:ascii="Book Antiqua" w:hAnsi="Book Antiqua" w:cs="Calibri"/>
                <w:sz w:val="20"/>
              </w:rPr>
            </w:pPr>
            <w:r w:rsidRPr="00117C08">
              <w:rPr>
                <w:rFonts w:ascii="Book Antiqua" w:hAnsi="Book Antiqua" w:cs="Calibri"/>
                <w:sz w:val="20"/>
              </w:rPr>
              <w:t>It has been observed that PGCIL has also floated separate tender for the substation project (SS01) proposed to be constructed between the transmission line. In this regard, kindly clarify whether a bidder executing only the transmission line project shall be required to wait for energization of the lines until the successful commissioning of the associated substation project. Please clarify.</w:t>
            </w:r>
          </w:p>
        </w:tc>
        <w:tc>
          <w:tcPr>
            <w:tcW w:w="4096" w:type="dxa"/>
            <w:vAlign w:val="center"/>
          </w:tcPr>
          <w:p w14:paraId="1D84778F" w14:textId="42EBDC9E" w:rsidR="00A35E32" w:rsidRPr="00871DCC" w:rsidRDefault="00336832" w:rsidP="00386638">
            <w:pPr>
              <w:jc w:val="both"/>
              <w:rPr>
                <w:rFonts w:ascii="Book Antiqua" w:hAnsi="Book Antiqua" w:cs="Calibri"/>
                <w:sz w:val="20"/>
              </w:rPr>
            </w:pPr>
            <w:r w:rsidRPr="00336832">
              <w:rPr>
                <w:rFonts w:ascii="Book Antiqua" w:hAnsi="Book Antiqua" w:cs="Calibri"/>
                <w:sz w:val="20"/>
              </w:rPr>
              <w:t>Bidders scope includes supply, installation, erection, testing and successful commissioning of the transmission line.</w:t>
            </w:r>
          </w:p>
        </w:tc>
      </w:tr>
      <w:tr w:rsidR="005C3D93" w14:paraId="7938E818" w14:textId="77777777" w:rsidTr="005C3D93">
        <w:trPr>
          <w:trHeight w:val="915"/>
        </w:trPr>
        <w:tc>
          <w:tcPr>
            <w:tcW w:w="577" w:type="dxa"/>
            <w:vAlign w:val="center"/>
          </w:tcPr>
          <w:p w14:paraId="7F5C69D4" w14:textId="77777777" w:rsidR="005C3D93" w:rsidRPr="00F44F86" w:rsidRDefault="005C3D93"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1754DA90" w14:textId="0EAE2910" w:rsidR="005C3D93" w:rsidRPr="00A71384" w:rsidRDefault="006E71B6" w:rsidP="0010191D">
            <w:pPr>
              <w:jc w:val="both"/>
              <w:rPr>
                <w:rFonts w:ascii="Book Antiqua" w:hAnsi="Book Antiqua" w:cs="Calibri"/>
                <w:sz w:val="20"/>
              </w:rPr>
            </w:pPr>
            <w:r w:rsidRPr="006E71B6">
              <w:rPr>
                <w:rFonts w:ascii="Book Antiqua" w:hAnsi="Book Antiqua" w:cs="Calibri"/>
                <w:sz w:val="20"/>
              </w:rPr>
              <w:t>BOQ</w:t>
            </w:r>
            <w:r w:rsidR="00CA5A47">
              <w:rPr>
                <w:rFonts w:ascii="Book Antiqua" w:hAnsi="Book Antiqua" w:cs="Calibri"/>
                <w:sz w:val="20"/>
              </w:rPr>
              <w:t xml:space="preserve">: </w:t>
            </w:r>
            <w:r w:rsidR="00CA5A47" w:rsidRPr="00CA5A47">
              <w:rPr>
                <w:rFonts w:ascii="Book Antiqua" w:hAnsi="Book Antiqua" w:cs="Calibri"/>
                <w:sz w:val="20"/>
              </w:rPr>
              <w:t>Tower Structure</w:t>
            </w:r>
          </w:p>
        </w:tc>
        <w:tc>
          <w:tcPr>
            <w:tcW w:w="5920" w:type="dxa"/>
            <w:vAlign w:val="center"/>
          </w:tcPr>
          <w:p w14:paraId="2D517332" w14:textId="7B1DCD80" w:rsidR="005C3D93" w:rsidRPr="00117C08" w:rsidRDefault="00C271EB" w:rsidP="00386638">
            <w:pPr>
              <w:jc w:val="both"/>
              <w:rPr>
                <w:rFonts w:ascii="Book Antiqua" w:hAnsi="Book Antiqua" w:cs="Calibri"/>
                <w:sz w:val="20"/>
              </w:rPr>
            </w:pPr>
            <w:r w:rsidRPr="00C271EB">
              <w:rPr>
                <w:rFonts w:ascii="Book Antiqua" w:hAnsi="Book Antiqua" w:cs="Calibri"/>
                <w:sz w:val="20"/>
              </w:rPr>
              <w:t>Kindly confirm the Steel grade - IS2062 E250 &amp; E350 grade A for MS and HT respectively.</w:t>
            </w:r>
          </w:p>
        </w:tc>
        <w:tc>
          <w:tcPr>
            <w:tcW w:w="4096" w:type="dxa"/>
            <w:vAlign w:val="center"/>
          </w:tcPr>
          <w:p w14:paraId="28BD1770" w14:textId="1525A09A" w:rsidR="005C3D93" w:rsidRPr="00336832" w:rsidRDefault="002B0234" w:rsidP="00386638">
            <w:pPr>
              <w:jc w:val="both"/>
              <w:rPr>
                <w:rFonts w:ascii="Book Antiqua" w:hAnsi="Book Antiqua" w:cs="Calibri"/>
                <w:sz w:val="20"/>
              </w:rPr>
            </w:pPr>
            <w:r w:rsidRPr="002B0234">
              <w:rPr>
                <w:rFonts w:ascii="Book Antiqua" w:hAnsi="Book Antiqua" w:cs="Calibri"/>
                <w:sz w:val="20"/>
              </w:rPr>
              <w:t>Bidder may refer Clause 1.1.1 of SECTION-IV C (VOLUME-II) of the Technical Specification.</w:t>
            </w:r>
          </w:p>
        </w:tc>
      </w:tr>
      <w:tr w:rsidR="005C3D93" w14:paraId="3EF8D7A0" w14:textId="77777777" w:rsidTr="005C3D93">
        <w:trPr>
          <w:trHeight w:val="915"/>
        </w:trPr>
        <w:tc>
          <w:tcPr>
            <w:tcW w:w="577" w:type="dxa"/>
            <w:vAlign w:val="center"/>
          </w:tcPr>
          <w:p w14:paraId="27D10FBF" w14:textId="77777777" w:rsidR="005C3D93" w:rsidRPr="00F44F86" w:rsidRDefault="005C3D93"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1A55CE42" w14:textId="727F69BB" w:rsidR="005C3D93" w:rsidRPr="00A71384" w:rsidRDefault="00F3206E" w:rsidP="0010191D">
            <w:pPr>
              <w:jc w:val="both"/>
              <w:rPr>
                <w:rFonts w:ascii="Book Antiqua" w:hAnsi="Book Antiqua" w:cs="Calibri"/>
                <w:sz w:val="20"/>
              </w:rPr>
            </w:pPr>
            <w:r w:rsidRPr="00F3206E">
              <w:rPr>
                <w:rFonts w:ascii="Book Antiqua" w:hAnsi="Book Antiqua" w:cs="Calibri"/>
                <w:sz w:val="20"/>
              </w:rPr>
              <w:t>BOQ</w:t>
            </w:r>
            <w:r w:rsidR="00284A72">
              <w:rPr>
                <w:rFonts w:ascii="Book Antiqua" w:hAnsi="Book Antiqua" w:cs="Calibri"/>
                <w:sz w:val="20"/>
              </w:rPr>
              <w:t xml:space="preserve">: </w:t>
            </w:r>
            <w:r w:rsidR="00284A72" w:rsidRPr="00284A72">
              <w:rPr>
                <w:rFonts w:ascii="Book Antiqua" w:hAnsi="Book Antiqua" w:cs="Calibri"/>
                <w:sz w:val="20"/>
              </w:rPr>
              <w:t>Tower Structure</w:t>
            </w:r>
          </w:p>
        </w:tc>
        <w:tc>
          <w:tcPr>
            <w:tcW w:w="5920" w:type="dxa"/>
            <w:vAlign w:val="center"/>
          </w:tcPr>
          <w:p w14:paraId="68D67278" w14:textId="5BA66BBE" w:rsidR="005C3D93" w:rsidRPr="00117C08" w:rsidRDefault="009661CB" w:rsidP="00386638">
            <w:pPr>
              <w:jc w:val="both"/>
              <w:rPr>
                <w:rFonts w:ascii="Book Antiqua" w:hAnsi="Book Antiqua" w:cs="Calibri"/>
                <w:sz w:val="20"/>
              </w:rPr>
            </w:pPr>
            <w:r w:rsidRPr="009661CB">
              <w:rPr>
                <w:rFonts w:ascii="Book Antiqua" w:hAnsi="Book Antiqua" w:cs="Calibri"/>
                <w:sz w:val="20"/>
              </w:rPr>
              <w:t>Kindly confirm the "BN grade - 5.6/5" to be considered.</w:t>
            </w:r>
          </w:p>
        </w:tc>
        <w:tc>
          <w:tcPr>
            <w:tcW w:w="4096" w:type="dxa"/>
            <w:vAlign w:val="center"/>
          </w:tcPr>
          <w:p w14:paraId="05F26427" w14:textId="3C3EB5FD" w:rsidR="005C3D93" w:rsidRPr="00336832" w:rsidRDefault="00C87DB0" w:rsidP="00386638">
            <w:pPr>
              <w:jc w:val="both"/>
              <w:rPr>
                <w:rFonts w:ascii="Book Antiqua" w:hAnsi="Book Antiqua" w:cs="Calibri"/>
                <w:sz w:val="20"/>
              </w:rPr>
            </w:pPr>
            <w:r w:rsidRPr="00C87DB0">
              <w:rPr>
                <w:rFonts w:ascii="Book Antiqua" w:hAnsi="Book Antiqua" w:cs="Calibri"/>
                <w:sz w:val="20"/>
              </w:rPr>
              <w:t>Bidder may refer Clause 1.1.2 of SECTION-IV C (VOLUME-II) of the Technical Specification.</w:t>
            </w:r>
          </w:p>
        </w:tc>
      </w:tr>
      <w:tr w:rsidR="005C3D93" w14:paraId="21B83A02" w14:textId="77777777" w:rsidTr="005C3D93">
        <w:trPr>
          <w:trHeight w:val="915"/>
        </w:trPr>
        <w:tc>
          <w:tcPr>
            <w:tcW w:w="577" w:type="dxa"/>
            <w:vAlign w:val="center"/>
          </w:tcPr>
          <w:p w14:paraId="6EF5208D" w14:textId="77777777" w:rsidR="005C3D93" w:rsidRPr="00F44F86" w:rsidRDefault="005C3D93"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4CEEB789" w14:textId="332ACB14" w:rsidR="005C3D93" w:rsidRPr="00A71384" w:rsidRDefault="002D250D" w:rsidP="0010191D">
            <w:pPr>
              <w:jc w:val="both"/>
              <w:rPr>
                <w:rFonts w:ascii="Book Antiqua" w:hAnsi="Book Antiqua" w:cs="Calibri"/>
                <w:sz w:val="20"/>
              </w:rPr>
            </w:pPr>
            <w:r w:rsidRPr="002D250D">
              <w:rPr>
                <w:rFonts w:ascii="Book Antiqua" w:hAnsi="Book Antiqua" w:cs="Calibri"/>
                <w:sz w:val="20"/>
              </w:rPr>
              <w:t>BOQ</w:t>
            </w:r>
            <w:r w:rsidR="00787775">
              <w:rPr>
                <w:rFonts w:ascii="Book Antiqua" w:hAnsi="Book Antiqua" w:cs="Calibri"/>
                <w:sz w:val="20"/>
              </w:rPr>
              <w:t xml:space="preserve">: </w:t>
            </w:r>
            <w:r w:rsidR="00787775" w:rsidRPr="00787775">
              <w:rPr>
                <w:rFonts w:ascii="Book Antiqua" w:hAnsi="Book Antiqua" w:cs="Calibri"/>
                <w:sz w:val="20"/>
              </w:rPr>
              <w:t>Tower Structure</w:t>
            </w:r>
          </w:p>
        </w:tc>
        <w:tc>
          <w:tcPr>
            <w:tcW w:w="5920" w:type="dxa"/>
            <w:vAlign w:val="center"/>
          </w:tcPr>
          <w:p w14:paraId="7D03D569" w14:textId="0207E333" w:rsidR="005C3D93" w:rsidRPr="00117C08" w:rsidRDefault="00FD5827" w:rsidP="00386638">
            <w:pPr>
              <w:jc w:val="both"/>
              <w:rPr>
                <w:rFonts w:ascii="Book Antiqua" w:hAnsi="Book Antiqua" w:cs="Calibri"/>
                <w:sz w:val="20"/>
              </w:rPr>
            </w:pPr>
            <w:r w:rsidRPr="00FD5827">
              <w:rPr>
                <w:rFonts w:ascii="Book Antiqua" w:hAnsi="Book Antiqua" w:cs="Calibri"/>
                <w:sz w:val="20"/>
              </w:rPr>
              <w:t>Kindly confirm the Galvanizing quoting - 610gms/sqm (Average)</w:t>
            </w:r>
          </w:p>
        </w:tc>
        <w:tc>
          <w:tcPr>
            <w:tcW w:w="4096" w:type="dxa"/>
            <w:vAlign w:val="center"/>
          </w:tcPr>
          <w:p w14:paraId="171F2AC3" w14:textId="08182970" w:rsidR="005C3D93" w:rsidRPr="00336832" w:rsidRDefault="00485D90" w:rsidP="00386638">
            <w:pPr>
              <w:jc w:val="both"/>
              <w:rPr>
                <w:rFonts w:ascii="Book Antiqua" w:hAnsi="Book Antiqua" w:cs="Calibri"/>
                <w:sz w:val="20"/>
              </w:rPr>
            </w:pPr>
            <w:r w:rsidRPr="00485D90">
              <w:rPr>
                <w:rFonts w:ascii="Book Antiqua" w:hAnsi="Book Antiqua" w:cs="Calibri"/>
                <w:sz w:val="20"/>
              </w:rPr>
              <w:t xml:space="preserve">Bidder may refer Clause 1.6 of SECTION-IV C (VOLUME-II) of the Technical Specification. Minimum overall zinc coating </w:t>
            </w:r>
            <w:r w:rsidRPr="00485D90">
              <w:rPr>
                <w:rFonts w:ascii="Book Antiqua" w:hAnsi="Book Antiqua" w:cs="Calibri"/>
                <w:sz w:val="20"/>
              </w:rPr>
              <w:lastRenderedPageBreak/>
              <w:t>of 900 gm/ sqm is applicable for lines passing under Marine/costal/creek area.</w:t>
            </w:r>
          </w:p>
        </w:tc>
      </w:tr>
      <w:tr w:rsidR="005C3D93" w14:paraId="1F70709B" w14:textId="77777777" w:rsidTr="005C3D93">
        <w:trPr>
          <w:trHeight w:val="915"/>
        </w:trPr>
        <w:tc>
          <w:tcPr>
            <w:tcW w:w="577" w:type="dxa"/>
            <w:vAlign w:val="center"/>
          </w:tcPr>
          <w:p w14:paraId="01411767" w14:textId="77777777" w:rsidR="005C3D93" w:rsidRPr="00F44F86" w:rsidRDefault="005C3D93"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392B7640" w14:textId="572F2C91" w:rsidR="005C3D93" w:rsidRPr="00A71384" w:rsidRDefault="00625A41" w:rsidP="0010191D">
            <w:pPr>
              <w:jc w:val="both"/>
              <w:rPr>
                <w:rFonts w:ascii="Book Antiqua" w:hAnsi="Book Antiqua" w:cs="Calibri"/>
                <w:sz w:val="20"/>
              </w:rPr>
            </w:pPr>
            <w:r w:rsidRPr="00625A41">
              <w:rPr>
                <w:rFonts w:ascii="Book Antiqua" w:hAnsi="Book Antiqua" w:cs="Calibri"/>
                <w:sz w:val="20"/>
              </w:rPr>
              <w:t>General</w:t>
            </w:r>
            <w:r w:rsidR="008F1135">
              <w:rPr>
                <w:rFonts w:ascii="Book Antiqua" w:hAnsi="Book Antiqua" w:cs="Calibri"/>
                <w:sz w:val="20"/>
              </w:rPr>
              <w:t xml:space="preserve">: </w:t>
            </w:r>
            <w:r w:rsidR="008F1135" w:rsidRPr="008F1135">
              <w:rPr>
                <w:rFonts w:ascii="Book Antiqua" w:hAnsi="Book Antiqua" w:cs="Calibri"/>
                <w:sz w:val="20"/>
              </w:rPr>
              <w:t>Type test reports, GTP</w:t>
            </w:r>
          </w:p>
        </w:tc>
        <w:tc>
          <w:tcPr>
            <w:tcW w:w="5920" w:type="dxa"/>
            <w:vAlign w:val="center"/>
          </w:tcPr>
          <w:p w14:paraId="5364590E" w14:textId="463A25D7" w:rsidR="005C3D93" w:rsidRPr="00117C08" w:rsidRDefault="002A5D3E" w:rsidP="00386638">
            <w:pPr>
              <w:jc w:val="both"/>
              <w:rPr>
                <w:rFonts w:ascii="Book Antiqua" w:hAnsi="Book Antiqua" w:cs="Calibri"/>
                <w:sz w:val="20"/>
              </w:rPr>
            </w:pPr>
            <w:r w:rsidRPr="002A5D3E">
              <w:rPr>
                <w:rFonts w:ascii="Book Antiqua" w:hAnsi="Book Antiqua" w:cs="Calibri"/>
                <w:sz w:val="20"/>
              </w:rPr>
              <w:t xml:space="preserve">You are requested to clarify that GTP&amp;TTR for every item is required to submit at the time of bid submission or after getting LOA we </w:t>
            </w:r>
            <w:proofErr w:type="gramStart"/>
            <w:r w:rsidRPr="002A5D3E">
              <w:rPr>
                <w:rFonts w:ascii="Book Antiqua" w:hAnsi="Book Antiqua" w:cs="Calibri"/>
                <w:sz w:val="20"/>
              </w:rPr>
              <w:t>have to</w:t>
            </w:r>
            <w:proofErr w:type="gramEnd"/>
            <w:r w:rsidRPr="002A5D3E">
              <w:rPr>
                <w:rFonts w:ascii="Book Antiqua" w:hAnsi="Book Antiqua" w:cs="Calibri"/>
                <w:sz w:val="20"/>
              </w:rPr>
              <w:t xml:space="preserve"> submit GTP &amp; TTR</w:t>
            </w:r>
          </w:p>
        </w:tc>
        <w:tc>
          <w:tcPr>
            <w:tcW w:w="4096" w:type="dxa"/>
            <w:vAlign w:val="center"/>
          </w:tcPr>
          <w:p w14:paraId="4BB9514A" w14:textId="7C7B0ED6" w:rsidR="005C3D93" w:rsidRPr="00336832" w:rsidRDefault="00066873" w:rsidP="00386638">
            <w:pPr>
              <w:jc w:val="both"/>
              <w:rPr>
                <w:rFonts w:ascii="Book Antiqua" w:hAnsi="Book Antiqua" w:cs="Calibri"/>
                <w:sz w:val="20"/>
              </w:rPr>
            </w:pPr>
            <w:r w:rsidRPr="00066873">
              <w:rPr>
                <w:rFonts w:ascii="Book Antiqua" w:hAnsi="Book Antiqua" w:cs="Calibri"/>
                <w:sz w:val="20"/>
              </w:rPr>
              <w:t xml:space="preserve">Bidders may refer Clause 1.1.8 of SECTION-VI C (VOLUME-II) and Clause 1.1.4 of SECTION-VII C (VOLUME-II) of the Technical </w:t>
            </w:r>
            <w:proofErr w:type="gramStart"/>
            <w:r w:rsidRPr="00066873">
              <w:rPr>
                <w:rFonts w:ascii="Book Antiqua" w:hAnsi="Book Antiqua" w:cs="Calibri"/>
                <w:sz w:val="20"/>
              </w:rPr>
              <w:t>Specification .</w:t>
            </w:r>
            <w:proofErr w:type="gramEnd"/>
          </w:p>
        </w:tc>
      </w:tr>
      <w:tr w:rsidR="005C3D93" w14:paraId="03914243" w14:textId="77777777" w:rsidTr="005C3D93">
        <w:trPr>
          <w:trHeight w:val="915"/>
        </w:trPr>
        <w:tc>
          <w:tcPr>
            <w:tcW w:w="577" w:type="dxa"/>
            <w:vAlign w:val="center"/>
          </w:tcPr>
          <w:p w14:paraId="6E9E71B2" w14:textId="77777777" w:rsidR="005C3D93" w:rsidRPr="00F44F86" w:rsidRDefault="005C3D93"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4F7CA662" w14:textId="46981A97" w:rsidR="005C3D93" w:rsidRPr="00A71384" w:rsidRDefault="007F5324" w:rsidP="0010191D">
            <w:pPr>
              <w:jc w:val="both"/>
              <w:rPr>
                <w:rFonts w:ascii="Book Antiqua" w:hAnsi="Book Antiqua" w:cs="Calibri"/>
                <w:sz w:val="20"/>
              </w:rPr>
            </w:pPr>
            <w:r>
              <w:rPr>
                <w:rFonts w:ascii="Book Antiqua" w:hAnsi="Book Antiqua" w:cs="Calibri"/>
                <w:sz w:val="20"/>
              </w:rPr>
              <w:t>General</w:t>
            </w:r>
            <w:r w:rsidR="00274C8B">
              <w:rPr>
                <w:rFonts w:ascii="Book Antiqua" w:hAnsi="Book Antiqua" w:cs="Calibri"/>
                <w:sz w:val="20"/>
              </w:rPr>
              <w:t xml:space="preserve"> </w:t>
            </w:r>
            <w:r w:rsidR="003F641F">
              <w:rPr>
                <w:rFonts w:ascii="Book Antiqua" w:hAnsi="Book Antiqua" w:cs="Calibri"/>
                <w:sz w:val="20"/>
              </w:rPr>
              <w:t>- Route</w:t>
            </w:r>
          </w:p>
        </w:tc>
        <w:tc>
          <w:tcPr>
            <w:tcW w:w="5920" w:type="dxa"/>
            <w:vAlign w:val="center"/>
          </w:tcPr>
          <w:p w14:paraId="7C07ED04" w14:textId="0498B6BF" w:rsidR="005C3D93" w:rsidRPr="00117C08" w:rsidRDefault="007F5324" w:rsidP="00386638">
            <w:pPr>
              <w:jc w:val="both"/>
              <w:rPr>
                <w:rFonts w:ascii="Book Antiqua" w:hAnsi="Book Antiqua" w:cs="Calibri"/>
                <w:sz w:val="20"/>
              </w:rPr>
            </w:pPr>
            <w:r w:rsidRPr="007F5324">
              <w:rPr>
                <w:rFonts w:ascii="Book Antiqua" w:hAnsi="Book Antiqua" w:cs="Calibri"/>
                <w:sz w:val="20"/>
              </w:rPr>
              <w:t>Please provide KMZ file of proposed route for better understanding of scope of work</w:t>
            </w:r>
          </w:p>
        </w:tc>
        <w:tc>
          <w:tcPr>
            <w:tcW w:w="4096" w:type="dxa"/>
            <w:vAlign w:val="center"/>
          </w:tcPr>
          <w:p w14:paraId="571CB67A" w14:textId="097DF820" w:rsidR="005C3D93" w:rsidRPr="00336832" w:rsidRDefault="00587E01" w:rsidP="00386638">
            <w:pPr>
              <w:jc w:val="both"/>
              <w:rPr>
                <w:rFonts w:ascii="Book Antiqua" w:hAnsi="Book Antiqua" w:cs="Calibri"/>
                <w:sz w:val="20"/>
              </w:rPr>
            </w:pPr>
            <w:r w:rsidRPr="00587E01">
              <w:rPr>
                <w:rFonts w:ascii="Book Antiqua" w:hAnsi="Book Antiqua" w:cs="Calibri"/>
                <w:sz w:val="20"/>
              </w:rPr>
              <w:t>Bidders may visit the line route to acquaint themselves with terrain conditions and associated details of the proposed transmission lines. For details of contact person Bidders may refer to clause 1.4.1 of Section-IA (Volume-II) of Technical Specification.</w:t>
            </w:r>
          </w:p>
        </w:tc>
      </w:tr>
      <w:tr w:rsidR="00E65701" w14:paraId="2ECF69E1" w14:textId="77777777" w:rsidTr="005C3D93">
        <w:trPr>
          <w:trHeight w:val="915"/>
        </w:trPr>
        <w:tc>
          <w:tcPr>
            <w:tcW w:w="577" w:type="dxa"/>
            <w:vAlign w:val="center"/>
          </w:tcPr>
          <w:p w14:paraId="5E96853A" w14:textId="77777777" w:rsidR="00E65701" w:rsidRPr="00F44F86" w:rsidRDefault="00E65701"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4F81D9F6" w14:textId="5CDB84A4" w:rsidR="00E65701" w:rsidRDefault="00A016E1" w:rsidP="0010191D">
            <w:pPr>
              <w:jc w:val="both"/>
              <w:rPr>
                <w:rFonts w:ascii="Book Antiqua" w:hAnsi="Book Antiqua" w:cs="Calibri"/>
                <w:sz w:val="20"/>
              </w:rPr>
            </w:pPr>
            <w:r w:rsidRPr="00A016E1">
              <w:rPr>
                <w:rFonts w:ascii="Book Antiqua" w:hAnsi="Book Antiqua" w:cs="Calibri"/>
                <w:sz w:val="20"/>
              </w:rPr>
              <w:t>General - Soil Investigation Report</w:t>
            </w:r>
          </w:p>
        </w:tc>
        <w:tc>
          <w:tcPr>
            <w:tcW w:w="5920" w:type="dxa"/>
            <w:vAlign w:val="center"/>
          </w:tcPr>
          <w:p w14:paraId="43938EAE" w14:textId="64FD73D3" w:rsidR="00E65701" w:rsidRPr="007F5324" w:rsidRDefault="002533BC" w:rsidP="00386638">
            <w:pPr>
              <w:jc w:val="both"/>
              <w:rPr>
                <w:rFonts w:ascii="Book Antiqua" w:hAnsi="Book Antiqua" w:cs="Calibri"/>
                <w:sz w:val="20"/>
              </w:rPr>
            </w:pPr>
            <w:r w:rsidRPr="002533BC">
              <w:rPr>
                <w:rFonts w:ascii="Book Antiqua" w:hAnsi="Book Antiqua" w:cs="Calibri"/>
                <w:sz w:val="20"/>
              </w:rPr>
              <w:t>Kindly Provide soil investigation report of proposed route.</w:t>
            </w:r>
          </w:p>
        </w:tc>
        <w:tc>
          <w:tcPr>
            <w:tcW w:w="4096" w:type="dxa"/>
            <w:vAlign w:val="center"/>
          </w:tcPr>
          <w:p w14:paraId="0ED57AA9" w14:textId="268B7CE4" w:rsidR="00E65701" w:rsidRPr="00587E01" w:rsidRDefault="00EA3800" w:rsidP="00386638">
            <w:pPr>
              <w:jc w:val="both"/>
              <w:rPr>
                <w:rFonts w:ascii="Book Antiqua" w:hAnsi="Book Antiqua" w:cs="Calibri"/>
                <w:sz w:val="20"/>
              </w:rPr>
            </w:pPr>
            <w:r w:rsidRPr="00EA3800">
              <w:rPr>
                <w:rFonts w:ascii="Book Antiqua" w:hAnsi="Book Antiqua" w:cs="Calibri"/>
                <w:sz w:val="20"/>
              </w:rPr>
              <w:t>Bidder may refer to Clause 1.4.1 of Section-IA (Volume-II)</w:t>
            </w:r>
          </w:p>
        </w:tc>
      </w:tr>
      <w:tr w:rsidR="00E65701" w14:paraId="11DC717C" w14:textId="77777777" w:rsidTr="005C3D93">
        <w:trPr>
          <w:trHeight w:val="915"/>
        </w:trPr>
        <w:tc>
          <w:tcPr>
            <w:tcW w:w="577" w:type="dxa"/>
            <w:vAlign w:val="center"/>
          </w:tcPr>
          <w:p w14:paraId="31D45338" w14:textId="77777777" w:rsidR="00E65701" w:rsidRPr="00F44F86" w:rsidRDefault="00E65701"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39894916" w14:textId="43079AC6" w:rsidR="00E65701" w:rsidRDefault="004709C1" w:rsidP="0010191D">
            <w:pPr>
              <w:jc w:val="both"/>
              <w:rPr>
                <w:rFonts w:ascii="Book Antiqua" w:hAnsi="Book Antiqua" w:cs="Calibri"/>
                <w:sz w:val="20"/>
              </w:rPr>
            </w:pPr>
            <w:r w:rsidRPr="004709C1">
              <w:rPr>
                <w:rFonts w:ascii="Book Antiqua" w:hAnsi="Book Antiqua" w:cs="Calibri"/>
                <w:sz w:val="20"/>
              </w:rPr>
              <w:t>General</w:t>
            </w:r>
          </w:p>
        </w:tc>
        <w:tc>
          <w:tcPr>
            <w:tcW w:w="5920" w:type="dxa"/>
            <w:vAlign w:val="center"/>
          </w:tcPr>
          <w:p w14:paraId="62C59E3E" w14:textId="0DA2DE78" w:rsidR="00E65701" w:rsidRPr="007F5324" w:rsidRDefault="00C72B4D" w:rsidP="00386638">
            <w:pPr>
              <w:jc w:val="both"/>
              <w:rPr>
                <w:rFonts w:ascii="Book Antiqua" w:hAnsi="Book Antiqua" w:cs="Calibri"/>
                <w:sz w:val="20"/>
              </w:rPr>
            </w:pPr>
            <w:r w:rsidRPr="00C72B4D">
              <w:rPr>
                <w:rFonts w:ascii="Book Antiqua" w:hAnsi="Book Antiqua" w:cs="Calibri"/>
                <w:sz w:val="20"/>
              </w:rPr>
              <w:t>Kindly provide the height restriction of the proposed TL for aviation clearance.</w:t>
            </w:r>
          </w:p>
        </w:tc>
        <w:tc>
          <w:tcPr>
            <w:tcW w:w="4096" w:type="dxa"/>
            <w:vAlign w:val="center"/>
          </w:tcPr>
          <w:p w14:paraId="525494C7" w14:textId="55A17F22" w:rsidR="00E65701" w:rsidRPr="00587E01" w:rsidRDefault="0062588F" w:rsidP="00386638">
            <w:pPr>
              <w:jc w:val="both"/>
              <w:rPr>
                <w:rFonts w:ascii="Book Antiqua" w:hAnsi="Book Antiqua" w:cs="Calibri"/>
                <w:sz w:val="20"/>
              </w:rPr>
            </w:pPr>
            <w:r w:rsidRPr="0062588F">
              <w:rPr>
                <w:rFonts w:ascii="Book Antiqua" w:hAnsi="Book Antiqua" w:cs="Calibri"/>
                <w:sz w:val="20"/>
              </w:rPr>
              <w:t>Bidder may refer to Clause 1.4.1 of Section-IA (Volume-II)</w:t>
            </w:r>
          </w:p>
        </w:tc>
      </w:tr>
      <w:tr w:rsidR="00737465" w14:paraId="7543BBFC" w14:textId="77777777" w:rsidTr="005C3D93">
        <w:trPr>
          <w:trHeight w:val="915"/>
        </w:trPr>
        <w:tc>
          <w:tcPr>
            <w:tcW w:w="577" w:type="dxa"/>
            <w:vAlign w:val="center"/>
          </w:tcPr>
          <w:p w14:paraId="246DD689" w14:textId="77777777" w:rsidR="00737465" w:rsidRPr="00F44F86" w:rsidRDefault="00737465"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5ADCEBF4" w14:textId="77777777" w:rsidR="00737465" w:rsidRDefault="00216773" w:rsidP="0010191D">
            <w:pPr>
              <w:jc w:val="both"/>
              <w:rPr>
                <w:rFonts w:ascii="Book Antiqua" w:hAnsi="Book Antiqua" w:cs="Calibri"/>
                <w:sz w:val="20"/>
              </w:rPr>
            </w:pPr>
            <w:r w:rsidRPr="00216773">
              <w:rPr>
                <w:rFonts w:ascii="Book Antiqua" w:hAnsi="Book Antiqua" w:cs="Calibri"/>
                <w:sz w:val="20"/>
              </w:rPr>
              <w:t>Section IA: Scope, Page-2</w:t>
            </w:r>
            <w:r>
              <w:rPr>
                <w:rFonts w:ascii="Book Antiqua" w:hAnsi="Book Antiqua" w:cs="Calibri"/>
                <w:sz w:val="20"/>
              </w:rPr>
              <w:t xml:space="preserve">: </w:t>
            </w:r>
          </w:p>
          <w:p w14:paraId="24CC02EA" w14:textId="44839E30" w:rsidR="00C75884" w:rsidRPr="004709C1" w:rsidRDefault="00C75884" w:rsidP="0010191D">
            <w:pPr>
              <w:jc w:val="both"/>
              <w:rPr>
                <w:rFonts w:ascii="Book Antiqua" w:hAnsi="Book Antiqua" w:cs="Calibri"/>
                <w:sz w:val="20"/>
              </w:rPr>
            </w:pPr>
            <w:r w:rsidRPr="00C75884">
              <w:rPr>
                <w:rFonts w:ascii="Book Antiqua" w:hAnsi="Book Antiqua" w:cs="Calibri"/>
                <w:sz w:val="20"/>
              </w:rPr>
              <w:t>Cable bypass arrangement of 11KV/33KV/LT Powerline crossing. (wherever applicable &amp; covered under BPS)</w:t>
            </w:r>
          </w:p>
        </w:tc>
        <w:tc>
          <w:tcPr>
            <w:tcW w:w="5920" w:type="dxa"/>
            <w:vAlign w:val="center"/>
          </w:tcPr>
          <w:p w14:paraId="419886E0" w14:textId="343F78B8" w:rsidR="00737465" w:rsidRPr="00C72B4D" w:rsidRDefault="00B73DFA" w:rsidP="00386638">
            <w:pPr>
              <w:jc w:val="both"/>
              <w:rPr>
                <w:rFonts w:ascii="Book Antiqua" w:hAnsi="Book Antiqua" w:cs="Calibri"/>
                <w:sz w:val="20"/>
              </w:rPr>
            </w:pPr>
            <w:r w:rsidRPr="00B73DFA">
              <w:rPr>
                <w:rFonts w:ascii="Book Antiqua" w:hAnsi="Book Antiqua" w:cs="Calibri"/>
                <w:sz w:val="20"/>
              </w:rPr>
              <w:t>Please provide details of cable bypass arrangement (Buried /through RCC Cable trench).</w:t>
            </w:r>
          </w:p>
        </w:tc>
        <w:tc>
          <w:tcPr>
            <w:tcW w:w="4096" w:type="dxa"/>
            <w:vAlign w:val="center"/>
          </w:tcPr>
          <w:p w14:paraId="137B1E3D" w14:textId="52DC0304" w:rsidR="00737465" w:rsidRPr="0062588F" w:rsidRDefault="00576326" w:rsidP="00386638">
            <w:pPr>
              <w:jc w:val="both"/>
              <w:rPr>
                <w:rFonts w:ascii="Book Antiqua" w:hAnsi="Book Antiqua" w:cs="Calibri"/>
                <w:sz w:val="20"/>
              </w:rPr>
            </w:pPr>
            <w:r w:rsidRPr="00576326">
              <w:rPr>
                <w:rFonts w:ascii="Book Antiqua" w:hAnsi="Book Antiqua" w:cs="Calibri"/>
                <w:sz w:val="20"/>
              </w:rPr>
              <w:t>Refer clause no. 3.1.8 of section IVC of Technical Specification.</w:t>
            </w:r>
          </w:p>
        </w:tc>
      </w:tr>
      <w:tr w:rsidR="00576326" w14:paraId="61F19163" w14:textId="77777777" w:rsidTr="005C3D93">
        <w:trPr>
          <w:trHeight w:val="915"/>
        </w:trPr>
        <w:tc>
          <w:tcPr>
            <w:tcW w:w="577" w:type="dxa"/>
            <w:vAlign w:val="center"/>
          </w:tcPr>
          <w:p w14:paraId="3B1F4382" w14:textId="77777777" w:rsidR="00576326" w:rsidRPr="00F44F86" w:rsidRDefault="00576326"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396DB86E" w14:textId="703B17C0" w:rsidR="00576326" w:rsidRPr="00216773" w:rsidRDefault="00306900" w:rsidP="0010191D">
            <w:pPr>
              <w:jc w:val="both"/>
              <w:rPr>
                <w:rFonts w:ascii="Book Antiqua" w:hAnsi="Book Antiqua" w:cs="Calibri"/>
                <w:sz w:val="20"/>
              </w:rPr>
            </w:pPr>
            <w:r w:rsidRPr="00306900">
              <w:rPr>
                <w:rFonts w:ascii="Book Antiqua" w:hAnsi="Book Antiqua" w:cs="Calibri"/>
                <w:sz w:val="20"/>
              </w:rPr>
              <w:t>General-Supply</w:t>
            </w:r>
          </w:p>
        </w:tc>
        <w:tc>
          <w:tcPr>
            <w:tcW w:w="5920" w:type="dxa"/>
            <w:vAlign w:val="center"/>
          </w:tcPr>
          <w:p w14:paraId="41492482" w14:textId="6A008D7F" w:rsidR="00576326" w:rsidRPr="00B73DFA" w:rsidRDefault="00F24377" w:rsidP="00386638">
            <w:pPr>
              <w:jc w:val="both"/>
              <w:rPr>
                <w:rFonts w:ascii="Book Antiqua" w:hAnsi="Book Antiqua" w:cs="Calibri"/>
                <w:sz w:val="20"/>
              </w:rPr>
            </w:pPr>
            <w:r w:rsidRPr="00F24377">
              <w:rPr>
                <w:rFonts w:ascii="Book Antiqua" w:hAnsi="Book Antiqua" w:cs="Calibri"/>
                <w:sz w:val="20"/>
              </w:rPr>
              <w:t>Please provide the list of manufacturers who are having 66kV covered conductor.</w:t>
            </w:r>
          </w:p>
        </w:tc>
        <w:tc>
          <w:tcPr>
            <w:tcW w:w="4096" w:type="dxa"/>
            <w:vAlign w:val="center"/>
          </w:tcPr>
          <w:p w14:paraId="2E0A732F" w14:textId="622C95E9" w:rsidR="00576326" w:rsidRPr="00576326" w:rsidRDefault="00832D7C" w:rsidP="00386638">
            <w:pPr>
              <w:jc w:val="both"/>
              <w:rPr>
                <w:rFonts w:ascii="Book Antiqua" w:hAnsi="Book Antiqua" w:cs="Calibri"/>
                <w:sz w:val="20"/>
              </w:rPr>
            </w:pPr>
            <w:r w:rsidRPr="00832D7C">
              <w:rPr>
                <w:rFonts w:ascii="Book Antiqua" w:hAnsi="Book Antiqua" w:cs="Calibri"/>
                <w:sz w:val="20"/>
              </w:rPr>
              <w:t>Bidders to explore the vendors meeting the technical QR mentioned at clause 3.4 (q) in Section-IA Volume-II of Technical Specification.</w:t>
            </w:r>
          </w:p>
        </w:tc>
      </w:tr>
      <w:tr w:rsidR="00AC18D9" w14:paraId="2B4BF6EA" w14:textId="77777777" w:rsidTr="005C3D93">
        <w:trPr>
          <w:trHeight w:val="915"/>
        </w:trPr>
        <w:tc>
          <w:tcPr>
            <w:tcW w:w="577" w:type="dxa"/>
            <w:vAlign w:val="center"/>
          </w:tcPr>
          <w:p w14:paraId="5B6C1794" w14:textId="77777777" w:rsidR="00AC18D9" w:rsidRPr="00F44F86" w:rsidRDefault="00AC18D9"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5CD164ED" w14:textId="4CED5D7D" w:rsidR="00AC18D9" w:rsidRPr="00306900" w:rsidRDefault="002307E4" w:rsidP="0010191D">
            <w:pPr>
              <w:jc w:val="both"/>
              <w:rPr>
                <w:rFonts w:ascii="Book Antiqua" w:hAnsi="Book Antiqua" w:cs="Calibri"/>
                <w:sz w:val="20"/>
              </w:rPr>
            </w:pPr>
            <w:r w:rsidRPr="002307E4">
              <w:rPr>
                <w:rFonts w:ascii="Book Antiqua" w:hAnsi="Book Antiqua" w:cs="Calibri"/>
                <w:sz w:val="20"/>
              </w:rPr>
              <w:t>General-Supply</w:t>
            </w:r>
          </w:p>
        </w:tc>
        <w:tc>
          <w:tcPr>
            <w:tcW w:w="5920" w:type="dxa"/>
            <w:vAlign w:val="center"/>
          </w:tcPr>
          <w:p w14:paraId="6819C1F8" w14:textId="1DD82E21" w:rsidR="00AC18D9" w:rsidRPr="00F24377" w:rsidRDefault="00351F26" w:rsidP="00386638">
            <w:pPr>
              <w:jc w:val="both"/>
              <w:rPr>
                <w:rFonts w:ascii="Book Antiqua" w:hAnsi="Book Antiqua" w:cs="Calibri"/>
                <w:sz w:val="20"/>
              </w:rPr>
            </w:pPr>
            <w:r w:rsidRPr="00351F26">
              <w:rPr>
                <w:rFonts w:ascii="Book Antiqua" w:hAnsi="Book Antiqua" w:cs="Calibri"/>
                <w:sz w:val="20"/>
              </w:rPr>
              <w:t>Please provide the list of manufacturers who are having 66kV covered conductor hardware.</w:t>
            </w:r>
          </w:p>
        </w:tc>
        <w:tc>
          <w:tcPr>
            <w:tcW w:w="4096" w:type="dxa"/>
            <w:vAlign w:val="center"/>
          </w:tcPr>
          <w:p w14:paraId="3F333A2F" w14:textId="62173E7A" w:rsidR="00AC18D9" w:rsidRPr="00832D7C" w:rsidRDefault="006E0776" w:rsidP="00386638">
            <w:pPr>
              <w:jc w:val="both"/>
              <w:rPr>
                <w:rFonts w:ascii="Book Antiqua" w:hAnsi="Book Antiqua" w:cs="Calibri"/>
                <w:sz w:val="20"/>
              </w:rPr>
            </w:pPr>
            <w:r w:rsidRPr="006E0776">
              <w:rPr>
                <w:rFonts w:ascii="Book Antiqua" w:hAnsi="Book Antiqua" w:cs="Calibri"/>
                <w:sz w:val="20"/>
              </w:rPr>
              <w:t>Bidders to explore the vendors meeting the technical QR mentioned at clause 3.4 (q) in Section-IA Volume-II of Technical Specification.</w:t>
            </w:r>
          </w:p>
        </w:tc>
      </w:tr>
      <w:tr w:rsidR="006F3974" w14:paraId="430F8359" w14:textId="77777777" w:rsidTr="005C3D93">
        <w:trPr>
          <w:trHeight w:val="915"/>
        </w:trPr>
        <w:tc>
          <w:tcPr>
            <w:tcW w:w="577" w:type="dxa"/>
            <w:vAlign w:val="center"/>
          </w:tcPr>
          <w:p w14:paraId="1326F22E" w14:textId="77777777" w:rsidR="006F3974" w:rsidRPr="00F44F86" w:rsidRDefault="006F3974"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582592BF" w14:textId="2E411361" w:rsidR="006F3974" w:rsidRPr="002307E4" w:rsidRDefault="002F6ECD" w:rsidP="0010191D">
            <w:pPr>
              <w:jc w:val="both"/>
              <w:rPr>
                <w:rFonts w:ascii="Book Antiqua" w:hAnsi="Book Antiqua" w:cs="Calibri"/>
                <w:sz w:val="20"/>
              </w:rPr>
            </w:pPr>
            <w:r>
              <w:rPr>
                <w:rFonts w:ascii="Book Antiqua" w:hAnsi="Book Antiqua" w:cs="Calibri"/>
                <w:sz w:val="20"/>
              </w:rPr>
              <w:t>General</w:t>
            </w:r>
          </w:p>
        </w:tc>
        <w:tc>
          <w:tcPr>
            <w:tcW w:w="5920" w:type="dxa"/>
            <w:vAlign w:val="center"/>
          </w:tcPr>
          <w:p w14:paraId="33C7945B" w14:textId="1B466080" w:rsidR="00A85BA2" w:rsidRPr="00A85BA2" w:rsidRDefault="00A85BA2" w:rsidP="00A85BA2">
            <w:pPr>
              <w:jc w:val="both"/>
              <w:rPr>
                <w:rFonts w:ascii="Book Antiqua" w:hAnsi="Book Antiqua" w:cs="Calibri"/>
                <w:sz w:val="20"/>
              </w:rPr>
            </w:pPr>
            <w:r>
              <w:rPr>
                <w:rFonts w:ascii="Book Antiqua" w:hAnsi="Book Antiqua" w:cs="Calibri"/>
                <w:sz w:val="20"/>
              </w:rPr>
              <w:t>K</w:t>
            </w:r>
            <w:r w:rsidRPr="00A85BA2">
              <w:rPr>
                <w:rFonts w:ascii="Book Antiqua" w:hAnsi="Book Antiqua" w:cs="Calibri"/>
                <w:sz w:val="20"/>
              </w:rPr>
              <w:t>indly clarify if the Medium Voltage Covered Conductor supplier needs PGCIL Approval for this specific category or conventional conductor (ACSR/Al59) approval can suffice the requirement and the approval for 66kV MVCC category can be applied along with this tender.</w:t>
            </w:r>
          </w:p>
          <w:p w14:paraId="347B8088" w14:textId="0A934074" w:rsidR="006F3974" w:rsidRPr="00351F26" w:rsidRDefault="00A85BA2" w:rsidP="00A85BA2">
            <w:pPr>
              <w:jc w:val="both"/>
              <w:rPr>
                <w:rFonts w:ascii="Book Antiqua" w:hAnsi="Book Antiqua" w:cs="Calibri"/>
                <w:sz w:val="20"/>
              </w:rPr>
            </w:pPr>
            <w:r w:rsidRPr="00A85BA2">
              <w:rPr>
                <w:rFonts w:ascii="Book Antiqua" w:hAnsi="Book Antiqua" w:cs="Calibri"/>
                <w:sz w:val="20"/>
              </w:rPr>
              <w:t>Your clarification in this regard will help us to progress further towards this tender</w:t>
            </w:r>
          </w:p>
        </w:tc>
        <w:tc>
          <w:tcPr>
            <w:tcW w:w="4096" w:type="dxa"/>
            <w:vAlign w:val="center"/>
          </w:tcPr>
          <w:p w14:paraId="00FE9E67" w14:textId="5D2B508D" w:rsidR="006F3974" w:rsidRPr="006E0776" w:rsidRDefault="00661FCC" w:rsidP="00386638">
            <w:pPr>
              <w:jc w:val="both"/>
              <w:rPr>
                <w:rFonts w:ascii="Book Antiqua" w:hAnsi="Book Antiqua" w:cs="Calibri"/>
                <w:sz w:val="20"/>
              </w:rPr>
            </w:pPr>
            <w:r w:rsidRPr="00661FCC">
              <w:rPr>
                <w:rFonts w:ascii="Book Antiqua" w:hAnsi="Book Antiqua" w:cs="Calibri"/>
                <w:sz w:val="20"/>
              </w:rPr>
              <w:t>Bidders to explore the vendors meeting the technical QR mentioned at clause 3.4 (q) in Section-IA Volume-II of Technical Specification.</w:t>
            </w:r>
          </w:p>
        </w:tc>
      </w:tr>
      <w:tr w:rsidR="0057296E" w14:paraId="3AA824FF" w14:textId="77777777" w:rsidTr="005C3D93">
        <w:trPr>
          <w:trHeight w:val="915"/>
        </w:trPr>
        <w:tc>
          <w:tcPr>
            <w:tcW w:w="577" w:type="dxa"/>
            <w:vAlign w:val="center"/>
          </w:tcPr>
          <w:p w14:paraId="489BC362" w14:textId="77777777" w:rsidR="0057296E" w:rsidRPr="00F44F86" w:rsidRDefault="0057296E" w:rsidP="00386638">
            <w:pPr>
              <w:pStyle w:val="ListParagraph"/>
              <w:numPr>
                <w:ilvl w:val="0"/>
                <w:numId w:val="1"/>
              </w:numPr>
              <w:ind w:left="175" w:right="175" w:hanging="175"/>
              <w:rPr>
                <w:rFonts w:ascii="Book Antiqua" w:hAnsi="Book Antiqua" w:cs="Calibri"/>
                <w:szCs w:val="22"/>
              </w:rPr>
            </w:pPr>
          </w:p>
        </w:tc>
        <w:tc>
          <w:tcPr>
            <w:tcW w:w="4150" w:type="dxa"/>
            <w:vAlign w:val="center"/>
          </w:tcPr>
          <w:p w14:paraId="1AA36025" w14:textId="77777777" w:rsidR="0057296E" w:rsidRDefault="0057296E" w:rsidP="0010191D">
            <w:pPr>
              <w:jc w:val="both"/>
              <w:rPr>
                <w:rFonts w:ascii="Book Antiqua" w:hAnsi="Book Antiqua" w:cs="Calibri"/>
                <w:sz w:val="20"/>
              </w:rPr>
            </w:pPr>
          </w:p>
        </w:tc>
        <w:tc>
          <w:tcPr>
            <w:tcW w:w="5920" w:type="dxa"/>
            <w:vAlign w:val="center"/>
          </w:tcPr>
          <w:p w14:paraId="7B4809BB" w14:textId="682D1308" w:rsidR="00096610" w:rsidRPr="00096610" w:rsidRDefault="00096610" w:rsidP="00096610">
            <w:pPr>
              <w:jc w:val="both"/>
              <w:rPr>
                <w:rFonts w:ascii="Book Antiqua" w:hAnsi="Book Antiqua" w:cs="Calibri"/>
                <w:sz w:val="20"/>
              </w:rPr>
            </w:pPr>
            <w:r w:rsidRPr="00096610">
              <w:rPr>
                <w:rFonts w:ascii="Book Antiqua" w:hAnsi="Book Antiqua" w:cs="Calibri"/>
                <w:sz w:val="20"/>
              </w:rPr>
              <w:t>Referring to the subject tenders,</w:t>
            </w:r>
            <w:r w:rsidR="00D515E7">
              <w:rPr>
                <w:rFonts w:ascii="Book Antiqua" w:hAnsi="Book Antiqua" w:cs="Calibri"/>
                <w:sz w:val="20"/>
              </w:rPr>
              <w:t xml:space="preserve"> </w:t>
            </w:r>
            <w:r w:rsidRPr="00096610">
              <w:rPr>
                <w:rFonts w:ascii="Book Antiqua" w:hAnsi="Book Antiqua" w:cs="Calibri"/>
                <w:sz w:val="20"/>
              </w:rPr>
              <w:t>we respectfully submit for your kind consideration the adoption of base-plated monopoles with steel caisson foundations as an effective alternative to the conventional base-plated monopoles with pile foundations for the Andaman &amp; Nicobar transmission project.</w:t>
            </w:r>
          </w:p>
          <w:p w14:paraId="15AA4A17"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xml:space="preserve">Based on our detailed assessment of site conditions, execution challenges and logistical constraints specific to the Andaman &amp; Nicobar Islands, we believe that Steel Caisson monopoles offer a technically sound, time-efficient, and cost-optimized solution. With over two decades of experience in power transmission project management, tendering, and execution, </w:t>
            </w:r>
            <w:proofErr w:type="spellStart"/>
            <w:r w:rsidRPr="00096610">
              <w:rPr>
                <w:rFonts w:ascii="Book Antiqua" w:hAnsi="Book Antiqua" w:cs="Calibri"/>
                <w:sz w:val="20"/>
              </w:rPr>
              <w:t>Bajel</w:t>
            </w:r>
            <w:proofErr w:type="spellEnd"/>
            <w:r w:rsidRPr="00096610">
              <w:rPr>
                <w:rFonts w:ascii="Book Antiqua" w:hAnsi="Book Antiqua" w:cs="Calibri"/>
                <w:sz w:val="20"/>
              </w:rPr>
              <w:t xml:space="preserve"> Projects Ltd has successfully deployed this technology in challenging conditions, achieving measurable improvements in schedule</w:t>
            </w:r>
          </w:p>
          <w:p w14:paraId="40E91146"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adherence and overall project economy.</w:t>
            </w:r>
          </w:p>
          <w:p w14:paraId="484877C1"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Below are few considerations supporting this proposal:</w:t>
            </w:r>
          </w:p>
          <w:p w14:paraId="1F271257"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1. Key Advantages of Monopoles with Steel Caisson foundation:</w:t>
            </w:r>
          </w:p>
          <w:p w14:paraId="38F7444F"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xml:space="preserve">Steel Caisson Foundation have a compact foundation footprint, enabling installation in confined and right of way constrained locations. Unlike pile foundations, which require heavy piling rigs, extensive excavation, multiple construction stages and </w:t>
            </w:r>
            <w:r w:rsidRPr="00096610">
              <w:rPr>
                <w:rFonts w:ascii="Book Antiqua" w:hAnsi="Book Antiqua" w:cs="Calibri"/>
                <w:sz w:val="20"/>
              </w:rPr>
              <w:lastRenderedPageBreak/>
              <w:t>prolonged curing periods, steel caissons foundation allow faster and more streamlined installation with minimal site preparation.</w:t>
            </w:r>
          </w:p>
          <w:p w14:paraId="01046717"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From an engineering standpoint, steel caissons foundation provides high load-bearing capacity, long term durability in soft, saturated and coastal soils and improved structural performance under extreme environmental conditions without disturbing existing soil, including high wind and cyclonic loads</w:t>
            </w:r>
          </w:p>
          <w:p w14:paraId="20F38F69"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prevalent in the Andaman &amp; Nicobar region. Reduced concrete and reinforcement quantities coupled with simplified construction activities, typically result in overall foundation cost savings, primarily through reduced construction time and logistics.</w:t>
            </w:r>
          </w:p>
          <w:p w14:paraId="3AD16F82"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In addition, the monopole configuration offers better aesthetics, fewer components, and improved reliability, making it particularly suitable for environmentally sensitive and geographically constrained areas.</w:t>
            </w:r>
          </w:p>
          <w:p w14:paraId="0FAFB4B2"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xml:space="preserve">2. Proven Execution Experience – 66kV Double Circuit PSPCL Project </w:t>
            </w:r>
            <w:proofErr w:type="spellStart"/>
            <w:r w:rsidRPr="00096610">
              <w:rPr>
                <w:rFonts w:ascii="Book Antiqua" w:hAnsi="Book Antiqua" w:cs="Calibri"/>
                <w:sz w:val="20"/>
              </w:rPr>
              <w:t>Bajel</w:t>
            </w:r>
            <w:proofErr w:type="spellEnd"/>
            <w:r w:rsidRPr="00096610">
              <w:rPr>
                <w:rFonts w:ascii="Book Antiqua" w:hAnsi="Book Antiqua" w:cs="Calibri"/>
                <w:sz w:val="20"/>
              </w:rPr>
              <w:t xml:space="preserve"> Projects has successfully executed Steel Caisson Foundation in our already commissioned transmission project for PSPCL for 66kV Voltage Level, marking one of the earliest applications of this technology in India. The solution was adopted to overcome severe right of way constraints, proximity to a national highway, and multiple underground and overhead utility crossings, where conventional lattice or pile-based foundations were not feasible.</w:t>
            </w:r>
          </w:p>
          <w:p w14:paraId="62B3C004"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The project achieved notable execution efficiency, including rapid installation cycles and was completed within the stipulated timelines. The innovation and execution methodology were formally acknowledged by PSPCL through an Appreciation Letter, which is enclosed herewith for your reference and needful action.</w:t>
            </w:r>
          </w:p>
          <w:p w14:paraId="24DA51DD"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lastRenderedPageBreak/>
              <w:t xml:space="preserve">3. Relevance to Andaman Project </w:t>
            </w:r>
            <w:proofErr w:type="gramStart"/>
            <w:r w:rsidRPr="00096610">
              <w:rPr>
                <w:rFonts w:ascii="Book Antiqua" w:hAnsi="Book Antiqua" w:cs="Calibri"/>
                <w:sz w:val="20"/>
              </w:rPr>
              <w:t>For</w:t>
            </w:r>
            <w:proofErr w:type="gramEnd"/>
            <w:r w:rsidRPr="00096610">
              <w:rPr>
                <w:rFonts w:ascii="Book Antiqua" w:hAnsi="Book Antiqua" w:cs="Calibri"/>
                <w:sz w:val="20"/>
              </w:rPr>
              <w:t xml:space="preserve"> the Andaman &amp; Nicobar Islands, Steel Caisson monopoles directly address several critical</w:t>
            </w:r>
          </w:p>
          <w:p w14:paraId="66836127"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challenges, including:</w:t>
            </w:r>
          </w:p>
          <w:p w14:paraId="5932F526"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Difficult access to remote and forest surrounded locations</w:t>
            </w:r>
          </w:p>
          <w:p w14:paraId="12F3A6CC"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Limited availability and high mobilization cost of heavy piling equipment</w:t>
            </w:r>
          </w:p>
          <w:p w14:paraId="28529A7B"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High groundwater levels and variable soil profiles</w:t>
            </w:r>
          </w:p>
          <w:p w14:paraId="03FD2745"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Environmental sensitivity and restrictions on large-scale excavation</w:t>
            </w:r>
          </w:p>
          <w:p w14:paraId="21D83997"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The proposed solution enables precise placement, faster erection and reduced dependence on heavy machinery, thereby aligning well with PGCIL’s objectives of timely project execution and optimized resource utilization under the RDSS framework. The reduced construction footprint also supports ecofriendly deployment in coastal and forest-adjacent zones.</w:t>
            </w:r>
          </w:p>
          <w:p w14:paraId="7F26202E"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In view of the above, we firmly believe that adopting Steel Caisson Foundation type monopoles for</w:t>
            </w:r>
          </w:p>
          <w:p w14:paraId="74AD8C1A"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the Andaman &amp; Nicobar transmission project can deliver tangible benefits in terms of time, cost, constructability and environmental stewardship, compared to conventional base-plated monopoles with pile foundations.</w:t>
            </w:r>
          </w:p>
          <w:p w14:paraId="40E4CA57"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For your ready reference, we are enclosing:</w:t>
            </w:r>
          </w:p>
          <w:p w14:paraId="2433400D" w14:textId="77777777" w:rsidR="00096610" w:rsidRPr="00096610" w:rsidRDefault="00096610" w:rsidP="00096610">
            <w:pPr>
              <w:jc w:val="both"/>
              <w:rPr>
                <w:rFonts w:ascii="Book Antiqua" w:hAnsi="Book Antiqua" w:cs="Calibri"/>
                <w:sz w:val="20"/>
              </w:rPr>
            </w:pPr>
            <w:r w:rsidRPr="00096610">
              <w:rPr>
                <w:rFonts w:ascii="Book Antiqua" w:hAnsi="Book Antiqua" w:cs="Calibri"/>
                <w:sz w:val="20"/>
              </w:rPr>
              <w:t>• The Appreciation Letter received from PSPCL, and</w:t>
            </w:r>
          </w:p>
          <w:p w14:paraId="08AC213E" w14:textId="5D2D0165" w:rsidR="0057296E" w:rsidRDefault="00096610" w:rsidP="00096610">
            <w:pPr>
              <w:jc w:val="both"/>
              <w:rPr>
                <w:rFonts w:ascii="Book Antiqua" w:hAnsi="Book Antiqua" w:cs="Calibri"/>
                <w:sz w:val="20"/>
              </w:rPr>
            </w:pPr>
            <w:r w:rsidRPr="00096610">
              <w:rPr>
                <w:rFonts w:ascii="Book Antiqua" w:hAnsi="Book Antiqua" w:cs="Calibri"/>
                <w:sz w:val="20"/>
              </w:rPr>
              <w:t>• Photographs and Structure geometry of the Steel Caisson type monopole executed under the said project. We respectfully request PGCIL to consider this alternative solution and permit further technical evaluation and discussions to assess its suitability for implementation in the project.</w:t>
            </w:r>
          </w:p>
        </w:tc>
        <w:tc>
          <w:tcPr>
            <w:tcW w:w="4096" w:type="dxa"/>
            <w:vAlign w:val="center"/>
          </w:tcPr>
          <w:p w14:paraId="4E840B09" w14:textId="24400E59" w:rsidR="0057296E" w:rsidRPr="00661FCC" w:rsidRDefault="00AC6065" w:rsidP="00386638">
            <w:pPr>
              <w:jc w:val="both"/>
              <w:rPr>
                <w:rFonts w:ascii="Book Antiqua" w:hAnsi="Book Antiqua" w:cs="Calibri"/>
                <w:sz w:val="20"/>
              </w:rPr>
            </w:pPr>
            <w:r w:rsidRPr="00AC6065">
              <w:rPr>
                <w:rFonts w:ascii="Book Antiqua" w:hAnsi="Book Antiqua" w:cs="Calibri"/>
                <w:sz w:val="20"/>
              </w:rPr>
              <w:lastRenderedPageBreak/>
              <w:t>Bidder</w:t>
            </w:r>
            <w:r w:rsidR="00D515E7">
              <w:rPr>
                <w:rFonts w:ascii="Book Antiqua" w:hAnsi="Book Antiqua" w:cs="Calibri"/>
                <w:sz w:val="20"/>
              </w:rPr>
              <w:t>s</w:t>
            </w:r>
            <w:r w:rsidRPr="00AC6065">
              <w:rPr>
                <w:rFonts w:ascii="Book Antiqua" w:hAnsi="Book Antiqua" w:cs="Calibri"/>
                <w:sz w:val="20"/>
              </w:rPr>
              <w:t xml:space="preserve"> to quote as per the provision</w:t>
            </w:r>
            <w:r>
              <w:rPr>
                <w:rFonts w:ascii="Book Antiqua" w:hAnsi="Book Antiqua" w:cs="Calibri"/>
                <w:sz w:val="20"/>
              </w:rPr>
              <w:t>s</w:t>
            </w:r>
            <w:r w:rsidRPr="00AC6065">
              <w:rPr>
                <w:rFonts w:ascii="Book Antiqua" w:hAnsi="Book Antiqua" w:cs="Calibri"/>
                <w:sz w:val="20"/>
              </w:rPr>
              <w:t xml:space="preserve"> of the </w:t>
            </w:r>
            <w:r>
              <w:rPr>
                <w:rFonts w:ascii="Book Antiqua" w:hAnsi="Book Antiqua" w:cs="Calibri"/>
                <w:sz w:val="20"/>
              </w:rPr>
              <w:t>Bidding Documents</w:t>
            </w:r>
            <w:r w:rsidRPr="00AC6065">
              <w:rPr>
                <w:rFonts w:ascii="Book Antiqua" w:hAnsi="Book Antiqua" w:cs="Calibri"/>
                <w:sz w:val="20"/>
              </w:rPr>
              <w:t>.</w:t>
            </w:r>
          </w:p>
        </w:tc>
      </w:tr>
    </w:tbl>
    <w:p w14:paraId="5BDD8F68" w14:textId="77777777" w:rsidR="00B56977" w:rsidRDefault="00B56977"/>
    <w:sectPr w:rsidR="00B56977" w:rsidSect="00241DE3">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7992D" w14:textId="77777777" w:rsidR="000B5342" w:rsidRDefault="000B5342" w:rsidP="0081530B">
      <w:pPr>
        <w:spacing w:after="0" w:line="240" w:lineRule="auto"/>
      </w:pPr>
      <w:r>
        <w:separator/>
      </w:r>
    </w:p>
  </w:endnote>
  <w:endnote w:type="continuationSeparator" w:id="0">
    <w:p w14:paraId="54B255D8" w14:textId="77777777" w:rsidR="000B5342" w:rsidRDefault="000B5342" w:rsidP="0081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351824"/>
      <w:docPartObj>
        <w:docPartGallery w:val="Page Numbers (Bottom of Page)"/>
        <w:docPartUnique/>
      </w:docPartObj>
    </w:sdtPr>
    <w:sdtContent>
      <w:sdt>
        <w:sdtPr>
          <w:id w:val="1728636285"/>
          <w:docPartObj>
            <w:docPartGallery w:val="Page Numbers (Top of Page)"/>
            <w:docPartUnique/>
          </w:docPartObj>
        </w:sdtPr>
        <w:sdtContent>
          <w:p w14:paraId="288E0260" w14:textId="11E449C9" w:rsidR="0081530B" w:rsidRDefault="0081530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6EF4A11" w14:textId="77777777" w:rsidR="0081530B" w:rsidRDefault="00815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8C421" w14:textId="77777777" w:rsidR="000B5342" w:rsidRDefault="000B5342" w:rsidP="0081530B">
      <w:pPr>
        <w:spacing w:after="0" w:line="240" w:lineRule="auto"/>
      </w:pPr>
      <w:r>
        <w:separator/>
      </w:r>
    </w:p>
  </w:footnote>
  <w:footnote w:type="continuationSeparator" w:id="0">
    <w:p w14:paraId="2B6D7C13" w14:textId="77777777" w:rsidR="000B5342" w:rsidRDefault="000B5342" w:rsidP="00815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F5AD6" w14:textId="034C32A5" w:rsidR="005966CA" w:rsidRPr="00EE7925" w:rsidRDefault="005966CA" w:rsidP="005966CA">
    <w:pPr>
      <w:pStyle w:val="Header"/>
      <w:pBdr>
        <w:bottom w:val="single" w:sz="4" w:space="1" w:color="auto"/>
      </w:pBdr>
      <w:ind w:left="-142" w:right="-363"/>
      <w:jc w:val="both"/>
      <w:rPr>
        <w:rFonts w:ascii="Book Antiqua" w:hAnsi="Book Antiqua"/>
        <w:szCs w:val="22"/>
      </w:rPr>
    </w:pPr>
    <w:r w:rsidRPr="00EE7925">
      <w:rPr>
        <w:rFonts w:ascii="Book Antiqua" w:hAnsi="Book Antiqua"/>
        <w:b/>
        <w:bCs/>
        <w:szCs w:val="22"/>
      </w:rPr>
      <w:t>Clarification No</w:t>
    </w:r>
    <w:r>
      <w:rPr>
        <w:rFonts w:ascii="Book Antiqua" w:hAnsi="Book Antiqua"/>
        <w:b/>
        <w:bCs/>
        <w:szCs w:val="22"/>
      </w:rPr>
      <w:t xml:space="preserve">. </w:t>
    </w:r>
    <w:r w:rsidR="00785578">
      <w:rPr>
        <w:rFonts w:ascii="Book Antiqua" w:hAnsi="Book Antiqua"/>
        <w:b/>
        <w:bCs/>
        <w:szCs w:val="22"/>
      </w:rPr>
      <w:t>2</w:t>
    </w:r>
    <w:r>
      <w:rPr>
        <w:rFonts w:ascii="Book Antiqua" w:hAnsi="Book Antiqua"/>
        <w:b/>
        <w:bCs/>
        <w:szCs w:val="22"/>
      </w:rPr>
      <w:t xml:space="preserve"> (Technical)</w:t>
    </w:r>
    <w:r w:rsidRPr="00EE7925">
      <w:rPr>
        <w:rFonts w:ascii="Book Antiqua" w:hAnsi="Book Antiqua"/>
        <w:b/>
        <w:bCs/>
        <w:szCs w:val="22"/>
      </w:rPr>
      <w:t xml:space="preserve"> dated </w:t>
    </w:r>
    <w:r w:rsidR="003151C6">
      <w:rPr>
        <w:rFonts w:ascii="Book Antiqua" w:hAnsi="Book Antiqua"/>
        <w:b/>
        <w:bCs/>
        <w:szCs w:val="22"/>
      </w:rPr>
      <w:t>22</w:t>
    </w:r>
    <w:r>
      <w:rPr>
        <w:rFonts w:ascii="Book Antiqua" w:hAnsi="Book Antiqua"/>
        <w:b/>
        <w:bCs/>
        <w:szCs w:val="22"/>
      </w:rPr>
      <w:t>/01/</w:t>
    </w:r>
    <w:r w:rsidRPr="00B37AB9">
      <w:rPr>
        <w:rFonts w:ascii="Book Antiqua" w:hAnsi="Book Antiqua"/>
        <w:b/>
        <w:bCs/>
        <w:szCs w:val="22"/>
      </w:rPr>
      <w:t>202</w:t>
    </w:r>
    <w:r>
      <w:rPr>
        <w:rFonts w:ascii="Book Antiqua" w:hAnsi="Book Antiqua"/>
        <w:b/>
        <w:bCs/>
        <w:szCs w:val="22"/>
      </w:rPr>
      <w:t>6</w:t>
    </w:r>
    <w:r w:rsidRPr="00B37AB9">
      <w:rPr>
        <w:rFonts w:ascii="Book Antiqua" w:hAnsi="Book Antiqua"/>
        <w:szCs w:val="22"/>
      </w:rPr>
      <w:t xml:space="preserve"> to</w:t>
    </w:r>
    <w:r w:rsidRPr="00EE7925">
      <w:rPr>
        <w:rFonts w:ascii="Book Antiqua" w:hAnsi="Book Antiqua"/>
        <w:szCs w:val="22"/>
      </w:rPr>
      <w:t xml:space="preserve"> the Bidding Documents of </w:t>
    </w:r>
    <w:r w:rsidRPr="00F3041D">
      <w:rPr>
        <w:rFonts w:ascii="Book Antiqua" w:hAnsi="Book Antiqua" w:cs="Arial"/>
        <w:b/>
        <w:bCs/>
        <w:szCs w:val="22"/>
      </w:rPr>
      <w:t xml:space="preserve">Transmission line package TL-01 </w:t>
    </w:r>
    <w:r w:rsidRPr="00F3041D">
      <w:rPr>
        <w:rFonts w:ascii="Book Antiqua" w:hAnsi="Book Antiqua" w:cs="Arial"/>
        <w:szCs w:val="22"/>
      </w:rPr>
      <w:t xml:space="preserve">for (a) 66kV D/C </w:t>
    </w:r>
    <w:proofErr w:type="spellStart"/>
    <w:r w:rsidRPr="00F3041D">
      <w:rPr>
        <w:rFonts w:ascii="Book Antiqua" w:hAnsi="Book Antiqua" w:cs="Arial"/>
        <w:szCs w:val="22"/>
      </w:rPr>
      <w:t>Diglipur</w:t>
    </w:r>
    <w:proofErr w:type="spellEnd"/>
    <w:r w:rsidRPr="00F3041D">
      <w:rPr>
        <w:rFonts w:ascii="Book Antiqua" w:hAnsi="Book Antiqua" w:cs="Arial"/>
        <w:szCs w:val="22"/>
      </w:rPr>
      <w:t xml:space="preserve"> </w:t>
    </w:r>
    <w:proofErr w:type="spellStart"/>
    <w:r w:rsidRPr="00F3041D">
      <w:rPr>
        <w:rFonts w:ascii="Book Antiqua" w:hAnsi="Book Antiqua" w:cs="Arial"/>
        <w:szCs w:val="22"/>
      </w:rPr>
      <w:t>Mayabunder</w:t>
    </w:r>
    <w:proofErr w:type="spellEnd"/>
    <w:r w:rsidRPr="00F3041D">
      <w:rPr>
        <w:rFonts w:ascii="Book Antiqua" w:hAnsi="Book Antiqua" w:cs="Arial"/>
        <w:szCs w:val="22"/>
      </w:rPr>
      <w:t xml:space="preserve"> transmission line &amp; (b) 66kV D/C </w:t>
    </w:r>
    <w:proofErr w:type="spellStart"/>
    <w:r w:rsidRPr="00F3041D">
      <w:rPr>
        <w:rFonts w:ascii="Book Antiqua" w:hAnsi="Book Antiqua" w:cs="Arial"/>
        <w:szCs w:val="22"/>
      </w:rPr>
      <w:t>Mayabunder</w:t>
    </w:r>
    <w:proofErr w:type="spellEnd"/>
    <w:r w:rsidRPr="00F3041D">
      <w:rPr>
        <w:rFonts w:ascii="Book Antiqua" w:hAnsi="Book Antiqua" w:cs="Arial"/>
        <w:szCs w:val="22"/>
      </w:rPr>
      <w:t xml:space="preserve"> Rangat transmission line associated with “Interconnection work of North, Middle &amp; South Andaman Island under RDSS in UT of Andaman &amp; Nicobar Islands” under Consultancy Services to EDANA</w:t>
    </w:r>
    <w:r w:rsidRPr="00544C68">
      <w:rPr>
        <w:rFonts w:ascii="Book Antiqua" w:hAnsi="Book Antiqua" w:cs="Arial"/>
        <w:szCs w:val="22"/>
      </w:rPr>
      <w:t>;</w:t>
    </w:r>
    <w:r w:rsidRPr="00D44B1C">
      <w:rPr>
        <w:rFonts w:ascii="Book Antiqua" w:hAnsi="Book Antiqua" w:cs="Arial"/>
        <w:szCs w:val="22"/>
      </w:rPr>
      <w:t xml:space="preserve"> Specification No</w:t>
    </w:r>
    <w:r>
      <w:rPr>
        <w:rFonts w:ascii="Book Antiqua" w:hAnsi="Book Antiqua" w:cs="Arial"/>
        <w:szCs w:val="22"/>
      </w:rPr>
      <w:t xml:space="preserve">. </w:t>
    </w:r>
    <w:r w:rsidRPr="000350D7">
      <w:rPr>
        <w:rFonts w:ascii="Book Antiqua" w:eastAsia="MS Mincho" w:hAnsi="Book Antiqua" w:cs="Arial"/>
        <w:bCs/>
        <w:szCs w:val="22"/>
      </w:rPr>
      <w:t>CC/NT/W-TW/DOM/A01/25/15831</w:t>
    </w:r>
  </w:p>
  <w:p w14:paraId="1FDD8F6D" w14:textId="77777777" w:rsidR="00895FD4" w:rsidRDefault="00895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792481"/>
    <w:multiLevelType w:val="hybridMultilevel"/>
    <w:tmpl w:val="2C901F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7123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1E2"/>
    <w:rsid w:val="00005B72"/>
    <w:rsid w:val="00012B61"/>
    <w:rsid w:val="00017512"/>
    <w:rsid w:val="00040DDE"/>
    <w:rsid w:val="000423DE"/>
    <w:rsid w:val="000557B8"/>
    <w:rsid w:val="00057957"/>
    <w:rsid w:val="000600D7"/>
    <w:rsid w:val="000664EB"/>
    <w:rsid w:val="00066873"/>
    <w:rsid w:val="00096610"/>
    <w:rsid w:val="000A19E1"/>
    <w:rsid w:val="000B5342"/>
    <w:rsid w:val="000C0B14"/>
    <w:rsid w:val="000C6E92"/>
    <w:rsid w:val="000C73A2"/>
    <w:rsid w:val="000D0C19"/>
    <w:rsid w:val="000D1B28"/>
    <w:rsid w:val="000D4507"/>
    <w:rsid w:val="000E6166"/>
    <w:rsid w:val="0010191D"/>
    <w:rsid w:val="0010505F"/>
    <w:rsid w:val="00115308"/>
    <w:rsid w:val="00117C08"/>
    <w:rsid w:val="00122F0F"/>
    <w:rsid w:val="001315F9"/>
    <w:rsid w:val="00142992"/>
    <w:rsid w:val="00147AA7"/>
    <w:rsid w:val="00157638"/>
    <w:rsid w:val="00160972"/>
    <w:rsid w:val="0016342A"/>
    <w:rsid w:val="0018077B"/>
    <w:rsid w:val="00192A0C"/>
    <w:rsid w:val="001965CE"/>
    <w:rsid w:val="001A61AC"/>
    <w:rsid w:val="001B0D84"/>
    <w:rsid w:val="001C2EA2"/>
    <w:rsid w:val="001C3C96"/>
    <w:rsid w:val="001C6D83"/>
    <w:rsid w:val="001D2E60"/>
    <w:rsid w:val="001D6DDA"/>
    <w:rsid w:val="001E1C6A"/>
    <w:rsid w:val="001E70E6"/>
    <w:rsid w:val="001F4300"/>
    <w:rsid w:val="001F7F59"/>
    <w:rsid w:val="00216773"/>
    <w:rsid w:val="002277F2"/>
    <w:rsid w:val="002307E4"/>
    <w:rsid w:val="00231463"/>
    <w:rsid w:val="00241DE3"/>
    <w:rsid w:val="002533BC"/>
    <w:rsid w:val="00274C8B"/>
    <w:rsid w:val="00284A72"/>
    <w:rsid w:val="00290F6C"/>
    <w:rsid w:val="002933BC"/>
    <w:rsid w:val="002A0856"/>
    <w:rsid w:val="002A5D3E"/>
    <w:rsid w:val="002B0234"/>
    <w:rsid w:val="002D250D"/>
    <w:rsid w:val="002F01F6"/>
    <w:rsid w:val="002F6ECD"/>
    <w:rsid w:val="00306900"/>
    <w:rsid w:val="003151C6"/>
    <w:rsid w:val="003200BD"/>
    <w:rsid w:val="00334056"/>
    <w:rsid w:val="00335832"/>
    <w:rsid w:val="00336832"/>
    <w:rsid w:val="00336ED4"/>
    <w:rsid w:val="00347D1F"/>
    <w:rsid w:val="00351F26"/>
    <w:rsid w:val="00353F60"/>
    <w:rsid w:val="003567CC"/>
    <w:rsid w:val="003600E1"/>
    <w:rsid w:val="00386638"/>
    <w:rsid w:val="00387B27"/>
    <w:rsid w:val="00390E8F"/>
    <w:rsid w:val="003A20E0"/>
    <w:rsid w:val="003A5562"/>
    <w:rsid w:val="003B7DF9"/>
    <w:rsid w:val="003D5965"/>
    <w:rsid w:val="003E765C"/>
    <w:rsid w:val="003F3FBF"/>
    <w:rsid w:val="003F4421"/>
    <w:rsid w:val="003F585A"/>
    <w:rsid w:val="003F641F"/>
    <w:rsid w:val="003F6E27"/>
    <w:rsid w:val="003F71FA"/>
    <w:rsid w:val="0040339A"/>
    <w:rsid w:val="00403E45"/>
    <w:rsid w:val="00405E20"/>
    <w:rsid w:val="00431FF3"/>
    <w:rsid w:val="0044532E"/>
    <w:rsid w:val="004504A5"/>
    <w:rsid w:val="00454ED3"/>
    <w:rsid w:val="004572EC"/>
    <w:rsid w:val="00457D75"/>
    <w:rsid w:val="004709C1"/>
    <w:rsid w:val="004735CE"/>
    <w:rsid w:val="00484088"/>
    <w:rsid w:val="00485D90"/>
    <w:rsid w:val="00493B1E"/>
    <w:rsid w:val="004B76F7"/>
    <w:rsid w:val="004D1A45"/>
    <w:rsid w:val="00505822"/>
    <w:rsid w:val="00535BE6"/>
    <w:rsid w:val="00545CDD"/>
    <w:rsid w:val="0056442C"/>
    <w:rsid w:val="0057296E"/>
    <w:rsid w:val="00576326"/>
    <w:rsid w:val="0057743A"/>
    <w:rsid w:val="00587E01"/>
    <w:rsid w:val="005966CA"/>
    <w:rsid w:val="005A511A"/>
    <w:rsid w:val="005A6336"/>
    <w:rsid w:val="005C0A18"/>
    <w:rsid w:val="005C3D93"/>
    <w:rsid w:val="005E5FB1"/>
    <w:rsid w:val="005F7210"/>
    <w:rsid w:val="005F7A14"/>
    <w:rsid w:val="006172FD"/>
    <w:rsid w:val="00625251"/>
    <w:rsid w:val="0062588F"/>
    <w:rsid w:val="00625A41"/>
    <w:rsid w:val="00645097"/>
    <w:rsid w:val="0064664B"/>
    <w:rsid w:val="006600CF"/>
    <w:rsid w:val="00661FCC"/>
    <w:rsid w:val="00670CDE"/>
    <w:rsid w:val="00674953"/>
    <w:rsid w:val="00685CA6"/>
    <w:rsid w:val="00687873"/>
    <w:rsid w:val="006A1114"/>
    <w:rsid w:val="006A79B8"/>
    <w:rsid w:val="006B1ED4"/>
    <w:rsid w:val="006E0776"/>
    <w:rsid w:val="006E71B6"/>
    <w:rsid w:val="006F3974"/>
    <w:rsid w:val="006F56D0"/>
    <w:rsid w:val="00702821"/>
    <w:rsid w:val="00705026"/>
    <w:rsid w:val="00705152"/>
    <w:rsid w:val="00727865"/>
    <w:rsid w:val="00731F87"/>
    <w:rsid w:val="00737465"/>
    <w:rsid w:val="0077482B"/>
    <w:rsid w:val="00785578"/>
    <w:rsid w:val="00787775"/>
    <w:rsid w:val="007A5316"/>
    <w:rsid w:val="007B3FDD"/>
    <w:rsid w:val="007B7FD8"/>
    <w:rsid w:val="007D7F3B"/>
    <w:rsid w:val="007E6C05"/>
    <w:rsid w:val="007F5324"/>
    <w:rsid w:val="00801192"/>
    <w:rsid w:val="00804CDA"/>
    <w:rsid w:val="00811A7F"/>
    <w:rsid w:val="0081530B"/>
    <w:rsid w:val="008245C9"/>
    <w:rsid w:val="00832071"/>
    <w:rsid w:val="00832D7C"/>
    <w:rsid w:val="0085400A"/>
    <w:rsid w:val="00854571"/>
    <w:rsid w:val="00863FCE"/>
    <w:rsid w:val="00871DCC"/>
    <w:rsid w:val="00890ED3"/>
    <w:rsid w:val="00895FD4"/>
    <w:rsid w:val="008C33C3"/>
    <w:rsid w:val="008D3D3A"/>
    <w:rsid w:val="008D44E2"/>
    <w:rsid w:val="008D4858"/>
    <w:rsid w:val="008E1352"/>
    <w:rsid w:val="008F1135"/>
    <w:rsid w:val="008F3124"/>
    <w:rsid w:val="0090187A"/>
    <w:rsid w:val="009243E6"/>
    <w:rsid w:val="009328DA"/>
    <w:rsid w:val="00952FAA"/>
    <w:rsid w:val="009655A8"/>
    <w:rsid w:val="009661CB"/>
    <w:rsid w:val="00967D76"/>
    <w:rsid w:val="0097024A"/>
    <w:rsid w:val="00971BEF"/>
    <w:rsid w:val="00981800"/>
    <w:rsid w:val="0099251D"/>
    <w:rsid w:val="009C57C9"/>
    <w:rsid w:val="009D6E21"/>
    <w:rsid w:val="00A016E1"/>
    <w:rsid w:val="00A05D2D"/>
    <w:rsid w:val="00A16452"/>
    <w:rsid w:val="00A2145C"/>
    <w:rsid w:val="00A23180"/>
    <w:rsid w:val="00A35E32"/>
    <w:rsid w:val="00A5160B"/>
    <w:rsid w:val="00A61B8D"/>
    <w:rsid w:val="00A62E35"/>
    <w:rsid w:val="00A71384"/>
    <w:rsid w:val="00A85BA2"/>
    <w:rsid w:val="00A92A7A"/>
    <w:rsid w:val="00AC18D9"/>
    <w:rsid w:val="00AC6065"/>
    <w:rsid w:val="00AD2854"/>
    <w:rsid w:val="00AD6A3A"/>
    <w:rsid w:val="00AF3A8B"/>
    <w:rsid w:val="00B0783A"/>
    <w:rsid w:val="00B1726A"/>
    <w:rsid w:val="00B47B22"/>
    <w:rsid w:val="00B56977"/>
    <w:rsid w:val="00B62657"/>
    <w:rsid w:val="00B67099"/>
    <w:rsid w:val="00B73DFA"/>
    <w:rsid w:val="00B81CC2"/>
    <w:rsid w:val="00BA562A"/>
    <w:rsid w:val="00BB5CB6"/>
    <w:rsid w:val="00BC2F3B"/>
    <w:rsid w:val="00BC3B60"/>
    <w:rsid w:val="00BC555C"/>
    <w:rsid w:val="00BD13E8"/>
    <w:rsid w:val="00BE703F"/>
    <w:rsid w:val="00BF454D"/>
    <w:rsid w:val="00C05CE5"/>
    <w:rsid w:val="00C07D83"/>
    <w:rsid w:val="00C13320"/>
    <w:rsid w:val="00C21967"/>
    <w:rsid w:val="00C22CA6"/>
    <w:rsid w:val="00C271EB"/>
    <w:rsid w:val="00C30BEE"/>
    <w:rsid w:val="00C362BF"/>
    <w:rsid w:val="00C437AE"/>
    <w:rsid w:val="00C44BE4"/>
    <w:rsid w:val="00C4519E"/>
    <w:rsid w:val="00C4625A"/>
    <w:rsid w:val="00C52823"/>
    <w:rsid w:val="00C53FAB"/>
    <w:rsid w:val="00C557D0"/>
    <w:rsid w:val="00C62690"/>
    <w:rsid w:val="00C71CA7"/>
    <w:rsid w:val="00C72B4D"/>
    <w:rsid w:val="00C74E80"/>
    <w:rsid w:val="00C75884"/>
    <w:rsid w:val="00C82C3A"/>
    <w:rsid w:val="00C87DB0"/>
    <w:rsid w:val="00CA5A47"/>
    <w:rsid w:val="00CB2788"/>
    <w:rsid w:val="00CF0D89"/>
    <w:rsid w:val="00D06632"/>
    <w:rsid w:val="00D11282"/>
    <w:rsid w:val="00D20727"/>
    <w:rsid w:val="00D211E2"/>
    <w:rsid w:val="00D23601"/>
    <w:rsid w:val="00D254BD"/>
    <w:rsid w:val="00D34217"/>
    <w:rsid w:val="00D34A5D"/>
    <w:rsid w:val="00D51449"/>
    <w:rsid w:val="00D515E7"/>
    <w:rsid w:val="00D6349B"/>
    <w:rsid w:val="00D653B2"/>
    <w:rsid w:val="00D717AC"/>
    <w:rsid w:val="00D76DB1"/>
    <w:rsid w:val="00D8070F"/>
    <w:rsid w:val="00D81F20"/>
    <w:rsid w:val="00D8370B"/>
    <w:rsid w:val="00D973BB"/>
    <w:rsid w:val="00D97D4C"/>
    <w:rsid w:val="00DA788D"/>
    <w:rsid w:val="00DB2517"/>
    <w:rsid w:val="00DC2478"/>
    <w:rsid w:val="00DC4956"/>
    <w:rsid w:val="00DE4C7E"/>
    <w:rsid w:val="00DE553A"/>
    <w:rsid w:val="00E10D6A"/>
    <w:rsid w:val="00E45AD2"/>
    <w:rsid w:val="00E65197"/>
    <w:rsid w:val="00E65701"/>
    <w:rsid w:val="00E70B97"/>
    <w:rsid w:val="00E75F49"/>
    <w:rsid w:val="00E91BEB"/>
    <w:rsid w:val="00EA28E4"/>
    <w:rsid w:val="00EA3800"/>
    <w:rsid w:val="00EA3EDF"/>
    <w:rsid w:val="00EC2C4F"/>
    <w:rsid w:val="00ED12F4"/>
    <w:rsid w:val="00EE07C6"/>
    <w:rsid w:val="00EE1C1A"/>
    <w:rsid w:val="00EE6C48"/>
    <w:rsid w:val="00EE6CAC"/>
    <w:rsid w:val="00EF1D97"/>
    <w:rsid w:val="00EF21FC"/>
    <w:rsid w:val="00F17784"/>
    <w:rsid w:val="00F20BB6"/>
    <w:rsid w:val="00F233B2"/>
    <w:rsid w:val="00F24377"/>
    <w:rsid w:val="00F3206E"/>
    <w:rsid w:val="00F3699F"/>
    <w:rsid w:val="00F4105B"/>
    <w:rsid w:val="00F44F86"/>
    <w:rsid w:val="00F9710B"/>
    <w:rsid w:val="00FD5827"/>
    <w:rsid w:val="00FE069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94324"/>
  <w15:chartTrackingRefBased/>
  <w15:docId w15:val="{E0155C22-F146-47E8-BD6F-D61BF2A6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D211E2"/>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D211E2"/>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D211E2"/>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D211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11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11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11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11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11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1E2"/>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D211E2"/>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D211E2"/>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D211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11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11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11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11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11E2"/>
    <w:rPr>
      <w:rFonts w:eastAsiaTheme="majorEastAsia" w:cstheme="majorBidi"/>
      <w:color w:val="272727" w:themeColor="text1" w:themeTint="D8"/>
    </w:rPr>
  </w:style>
  <w:style w:type="paragraph" w:styleId="Title">
    <w:name w:val="Title"/>
    <w:basedOn w:val="Normal"/>
    <w:next w:val="Normal"/>
    <w:link w:val="TitleChar"/>
    <w:uiPriority w:val="10"/>
    <w:qFormat/>
    <w:rsid w:val="00D211E2"/>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D211E2"/>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D211E2"/>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D211E2"/>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D211E2"/>
    <w:pPr>
      <w:spacing w:before="160"/>
      <w:jc w:val="center"/>
    </w:pPr>
    <w:rPr>
      <w:i/>
      <w:iCs/>
      <w:color w:val="404040" w:themeColor="text1" w:themeTint="BF"/>
    </w:rPr>
  </w:style>
  <w:style w:type="character" w:customStyle="1" w:styleId="QuoteChar">
    <w:name w:val="Quote Char"/>
    <w:basedOn w:val="DefaultParagraphFont"/>
    <w:link w:val="Quote"/>
    <w:uiPriority w:val="29"/>
    <w:rsid w:val="00D211E2"/>
    <w:rPr>
      <w:rFonts w:cs="Mangal"/>
      <w:i/>
      <w:iCs/>
      <w:color w:val="404040" w:themeColor="text1" w:themeTint="BF"/>
    </w:rPr>
  </w:style>
  <w:style w:type="paragraph" w:styleId="ListParagraph">
    <w:name w:val="List Paragraph"/>
    <w:basedOn w:val="Normal"/>
    <w:uiPriority w:val="34"/>
    <w:qFormat/>
    <w:rsid w:val="00D211E2"/>
    <w:pPr>
      <w:ind w:left="720"/>
      <w:contextualSpacing/>
    </w:pPr>
  </w:style>
  <w:style w:type="character" w:styleId="IntenseEmphasis">
    <w:name w:val="Intense Emphasis"/>
    <w:basedOn w:val="DefaultParagraphFont"/>
    <w:uiPriority w:val="21"/>
    <w:qFormat/>
    <w:rsid w:val="00D211E2"/>
    <w:rPr>
      <w:i/>
      <w:iCs/>
      <w:color w:val="0F4761" w:themeColor="accent1" w:themeShade="BF"/>
    </w:rPr>
  </w:style>
  <w:style w:type="paragraph" w:styleId="IntenseQuote">
    <w:name w:val="Intense Quote"/>
    <w:basedOn w:val="Normal"/>
    <w:next w:val="Normal"/>
    <w:link w:val="IntenseQuoteChar"/>
    <w:uiPriority w:val="30"/>
    <w:qFormat/>
    <w:rsid w:val="00D21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11E2"/>
    <w:rPr>
      <w:rFonts w:cs="Mangal"/>
      <w:i/>
      <w:iCs/>
      <w:color w:val="0F4761" w:themeColor="accent1" w:themeShade="BF"/>
    </w:rPr>
  </w:style>
  <w:style w:type="character" w:styleId="IntenseReference">
    <w:name w:val="Intense Reference"/>
    <w:basedOn w:val="DefaultParagraphFont"/>
    <w:uiPriority w:val="32"/>
    <w:qFormat/>
    <w:rsid w:val="00D211E2"/>
    <w:rPr>
      <w:b/>
      <w:bCs/>
      <w:smallCaps/>
      <w:color w:val="0F4761" w:themeColor="accent1" w:themeShade="BF"/>
      <w:spacing w:val="5"/>
    </w:rPr>
  </w:style>
  <w:style w:type="table" w:styleId="TableGrid">
    <w:name w:val="Table Grid"/>
    <w:basedOn w:val="TableNormal"/>
    <w:uiPriority w:val="39"/>
    <w:rsid w:val="00241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8153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530B"/>
    <w:rPr>
      <w:rFonts w:cs="Mangal"/>
    </w:rPr>
  </w:style>
  <w:style w:type="paragraph" w:styleId="Footer">
    <w:name w:val="footer"/>
    <w:basedOn w:val="Normal"/>
    <w:link w:val="FooterChar"/>
    <w:uiPriority w:val="99"/>
    <w:unhideWhenUsed/>
    <w:rsid w:val="008153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530B"/>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13</Pages>
  <Words>3405</Words>
  <Characters>19301</Characters>
  <Application>Microsoft Office Word</Application>
  <DocSecurity>0</DocSecurity>
  <Lines>571</Lines>
  <Paragraphs>196</Paragraphs>
  <ScaleCrop>false</ScaleCrop>
  <Company/>
  <LinksUpToDate>false</LinksUpToDate>
  <CharactersWithSpaces>22571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Dalakoti {रोहित डालाकोटी}</dc:creator>
  <cp:keywords/>
  <dc:description/>
  <cp:lastModifiedBy>Neelam Singh {नीलम सिंह}</cp:lastModifiedBy>
  <cp:revision>175</cp:revision>
  <cp:lastPrinted>2026-01-21T09:23:00Z</cp:lastPrinted>
  <dcterms:created xsi:type="dcterms:W3CDTF">2026-01-09T07:16:00Z</dcterms:created>
  <dcterms:modified xsi:type="dcterms:W3CDTF">2026-01-22T09:27:00Z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2026-01-08T11:38:39Z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4ef1df28-0dfb-4d92-9ad4-ba0ed9d29006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